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889BF3" w14:textId="5D01366D" w:rsidR="00463BEB" w:rsidRPr="00463BEB" w:rsidRDefault="00463BEB">
      <w:pPr>
        <w:spacing w:after="240" w:line="480" w:lineRule="auto"/>
        <w:rPr>
          <w:rFonts w:ascii="Times New Roman" w:eastAsia="Times New Roman" w:hAnsi="Times New Roman" w:cs="Times New Roman"/>
          <w:sz w:val="24"/>
          <w:szCs w:val="24"/>
        </w:rPr>
      </w:pPr>
      <w:r w:rsidRPr="00463BEB">
        <w:rPr>
          <w:rFonts w:ascii="Times New Roman" w:eastAsia="Times New Roman" w:hAnsi="Times New Roman" w:cs="Times New Roman"/>
          <w:sz w:val="24"/>
          <w:szCs w:val="24"/>
        </w:rPr>
        <w:t>Dominic LaMantia &amp; Johnny Waldrop</w:t>
      </w:r>
    </w:p>
    <w:p w14:paraId="00000001" w14:textId="5F30DC84" w:rsidR="008D1538" w:rsidRDefault="00000000">
      <w:pPr>
        <w:spacing w:after="240" w:line="480" w:lineRule="auto"/>
        <w:rPr>
          <w:rFonts w:ascii="Roboto" w:eastAsia="Roboto" w:hAnsi="Roboto" w:cs="Roboto"/>
          <w:color w:val="1C1917"/>
          <w:sz w:val="24"/>
          <w:szCs w:val="24"/>
          <w:highlight w:val="white"/>
        </w:rPr>
      </w:pPr>
      <w:r>
        <w:rPr>
          <w:rFonts w:ascii="Times New Roman" w:eastAsia="Times New Roman" w:hAnsi="Times New Roman" w:cs="Times New Roman"/>
          <w:sz w:val="30"/>
          <w:szCs w:val="30"/>
        </w:rPr>
        <w:t xml:space="preserve">The </w:t>
      </w:r>
      <w:proofErr w:type="spellStart"/>
      <w:r>
        <w:rPr>
          <w:rFonts w:ascii="Times New Roman" w:eastAsia="Times New Roman" w:hAnsi="Times New Roman" w:cs="Times New Roman"/>
          <w:sz w:val="30"/>
          <w:szCs w:val="30"/>
        </w:rPr>
        <w:t>Scotistic</w:t>
      </w:r>
      <w:proofErr w:type="spellEnd"/>
      <w:r>
        <w:rPr>
          <w:rFonts w:ascii="Times New Roman" w:eastAsia="Times New Roman" w:hAnsi="Times New Roman" w:cs="Times New Roman"/>
          <w:sz w:val="30"/>
          <w:szCs w:val="30"/>
        </w:rPr>
        <w:t xml:space="preserve"> Achilles &amp; The Virtual Distinction</w:t>
      </w:r>
    </w:p>
    <w:p w14:paraId="00000002" w14:textId="77777777" w:rsidR="008D1538" w:rsidRDefault="00000000">
      <w:pPr>
        <w:spacing w:after="240" w:line="240" w:lineRule="auto"/>
        <w:ind w:left="720"/>
        <w:rPr>
          <w:rFonts w:ascii="Times New Roman" w:eastAsia="Times New Roman" w:hAnsi="Times New Roman" w:cs="Times New Roman"/>
          <w:b/>
          <w:color w:val="1C1917"/>
          <w:highlight w:val="white"/>
        </w:rPr>
      </w:pPr>
      <w:r>
        <w:rPr>
          <w:rFonts w:ascii="Times New Roman" w:eastAsia="Times New Roman" w:hAnsi="Times New Roman" w:cs="Times New Roman"/>
          <w:b/>
          <w:color w:val="1C1917"/>
          <w:highlight w:val="white"/>
        </w:rPr>
        <w:t>Abstract:</w:t>
      </w:r>
      <w:r>
        <w:rPr>
          <w:rFonts w:ascii="Times New Roman" w:eastAsia="Times New Roman" w:hAnsi="Times New Roman" w:cs="Times New Roman"/>
          <w:color w:val="1C1917"/>
          <w:highlight w:val="white"/>
        </w:rPr>
        <w:t xml:space="preserve"> This paper investigates a neglected episode in scholastic debates over identity and distinction. </w:t>
      </w:r>
      <w:r>
        <w:rPr>
          <w:rFonts w:ascii="Times New Roman" w:eastAsia="Times New Roman" w:hAnsi="Times New Roman" w:cs="Times New Roman"/>
          <w:highlight w:val="white"/>
        </w:rPr>
        <w:t>The formal distinction--</w:t>
      </w:r>
      <w:r>
        <w:rPr>
          <w:rFonts w:ascii="Times New Roman" w:eastAsia="Times New Roman" w:hAnsi="Times New Roman" w:cs="Times New Roman"/>
          <w:color w:val="1C1917"/>
          <w:highlight w:val="white"/>
        </w:rPr>
        <w:t>a mind-independent distinction between identical entities–m</w:t>
      </w:r>
      <w:r>
        <w:rPr>
          <w:rFonts w:ascii="Times New Roman" w:eastAsia="Times New Roman" w:hAnsi="Times New Roman" w:cs="Times New Roman"/>
          <w:highlight w:val="white"/>
        </w:rPr>
        <w:t xml:space="preserve">ay be the most important tool in Duns Scotus’s toolbox; much of his metaphysical program stands or falls with it. For this reason, Scotus developed many powerful arguments in its favor. What is perhaps his favorite </w:t>
      </w:r>
      <w:proofErr w:type="gramStart"/>
      <w:r>
        <w:rPr>
          <w:rFonts w:ascii="Times New Roman" w:eastAsia="Times New Roman" w:hAnsi="Times New Roman" w:cs="Times New Roman"/>
          <w:highlight w:val="white"/>
        </w:rPr>
        <w:t>argument  came</w:t>
      </w:r>
      <w:proofErr w:type="gramEnd"/>
      <w:r>
        <w:rPr>
          <w:rFonts w:ascii="Times New Roman" w:eastAsia="Times New Roman" w:hAnsi="Times New Roman" w:cs="Times New Roman"/>
          <w:highlight w:val="white"/>
        </w:rPr>
        <w:t xml:space="preserve"> to be known as the </w:t>
      </w:r>
      <w:proofErr w:type="spellStart"/>
      <w:r>
        <w:rPr>
          <w:rFonts w:ascii="Times New Roman" w:eastAsia="Times New Roman" w:hAnsi="Times New Roman" w:cs="Times New Roman"/>
          <w:highlight w:val="white"/>
        </w:rPr>
        <w:t>Scotistic</w:t>
      </w:r>
      <w:proofErr w:type="spellEnd"/>
      <w:r>
        <w:rPr>
          <w:rFonts w:ascii="Times New Roman" w:eastAsia="Times New Roman" w:hAnsi="Times New Roman" w:cs="Times New Roman"/>
          <w:highlight w:val="white"/>
        </w:rPr>
        <w:t xml:space="preserve"> Achilles. </w:t>
      </w:r>
      <w:r>
        <w:rPr>
          <w:rFonts w:ascii="Times New Roman" w:eastAsia="Times New Roman" w:hAnsi="Times New Roman" w:cs="Times New Roman"/>
          <w:color w:val="1C1917"/>
          <w:highlight w:val="white"/>
        </w:rPr>
        <w:t xml:space="preserve">Thomistic opponents, rejecting the formal distinction, resisted the Achilles in diverse and sometimes radical ways, appealing to an alternative piece of machinery–the </w:t>
      </w:r>
      <w:r>
        <w:rPr>
          <w:rFonts w:ascii="Times New Roman" w:eastAsia="Times New Roman" w:hAnsi="Times New Roman" w:cs="Times New Roman"/>
          <w:i/>
          <w:color w:val="1C1917"/>
          <w:highlight w:val="white"/>
        </w:rPr>
        <w:t>virtual distinction</w:t>
      </w:r>
      <w:r>
        <w:rPr>
          <w:rFonts w:ascii="Times New Roman" w:eastAsia="Times New Roman" w:hAnsi="Times New Roman" w:cs="Times New Roman"/>
          <w:color w:val="1C1917"/>
          <w:highlight w:val="white"/>
        </w:rPr>
        <w:t xml:space="preserve">. Thomistic responses fall into four kinds: denying a key premise about the incommunicability of paternity, appealing to reduplication, accepting true contradictions outright, and appealing to mystery. An examination of these responses highlights difficulties facing Thomistic opponents of the formal distinction and suggests considerable disunity among Thomistic theories of the virtual distinction. Moreover, this debate not only sheds light on Thomistic metaphysics and the history of scholastic debates concerning identity and distinction, but also reveals historical precedents for some recent, ambitious proposals in analytic philosophy of religion. </w:t>
      </w:r>
    </w:p>
    <w:p w14:paraId="00000003" w14:textId="77777777" w:rsidR="008D1538" w:rsidRDefault="00000000">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real distinctions between things–such as the distinction between Socrates and Superman–as well as merely conceptual distinctions–such as the distinction between Superman and Clark Kent. Many scholastics, for different reasons, felt the need to invoke what is sometimes called a </w:t>
      </w:r>
      <w:r>
        <w:rPr>
          <w:rFonts w:ascii="Times New Roman" w:eastAsia="Times New Roman" w:hAnsi="Times New Roman" w:cs="Times New Roman"/>
          <w:i/>
          <w:sz w:val="24"/>
          <w:szCs w:val="24"/>
        </w:rPr>
        <w:t>middle distinction</w:t>
      </w:r>
      <w:r>
        <w:rPr>
          <w:rFonts w:ascii="Times New Roman" w:eastAsia="Times New Roman" w:hAnsi="Times New Roman" w:cs="Times New Roman"/>
          <w:sz w:val="24"/>
          <w:szCs w:val="24"/>
        </w:rPr>
        <w:t xml:space="preserve">, a distinction somehow “between” the two: neither a (fully) real distinction nor a (merely) conceptual distinction. This sought-after middle distinction would accommodate the identity of the things distinguished (unlike the real distinction) but would also carve nature at its joints somehow (unlike a mere conceptual distinction). </w:t>
      </w:r>
    </w:p>
    <w:p w14:paraId="00000004" w14:textId="77777777" w:rsidR="008D1538" w:rsidRDefault="00000000">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prominent candidate for a middle distinction among the scholastics is the </w:t>
      </w:r>
      <w:r>
        <w:rPr>
          <w:rFonts w:ascii="Times New Roman" w:eastAsia="Times New Roman" w:hAnsi="Times New Roman" w:cs="Times New Roman"/>
          <w:i/>
          <w:sz w:val="24"/>
          <w:szCs w:val="24"/>
        </w:rPr>
        <w:t>formal distinction</w:t>
      </w:r>
      <w:r>
        <w:rPr>
          <w:rFonts w:ascii="Times New Roman" w:eastAsia="Times New Roman" w:hAnsi="Times New Roman" w:cs="Times New Roman"/>
          <w:sz w:val="24"/>
          <w:szCs w:val="24"/>
        </w:rPr>
        <w:t>, originally theorized by Scotus. The formal distinction is a crucial element in Scotus’s thought, and he employs it in diverse and manifold areas throughout his system.  Here are a few examples. First, in the essence of a thing, genus and difference are formally distinct: Socrates’s animality is formally distinct from his rationality.</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Second, in humans and angels, intellect and </w:t>
      </w:r>
      <w:r>
        <w:rPr>
          <w:rFonts w:ascii="Times New Roman" w:eastAsia="Times New Roman" w:hAnsi="Times New Roman" w:cs="Times New Roman"/>
          <w:sz w:val="24"/>
          <w:szCs w:val="24"/>
        </w:rPr>
        <w:lastRenderedPageBreak/>
        <w:t>will are formally distinct, both from each other and from the soul which houses them.</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Third, a thing’s principle of individuation—its haecceity—is formally distinct from its common nature.</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Finally, the divine attributes are also formally distinct.</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xml:space="preserve"> </w:t>
      </w:r>
    </w:p>
    <w:p w14:paraId="00000005" w14:textId="77777777" w:rsidR="008D1538" w:rsidRDefault="00000000">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we will see below, the </w:t>
      </w:r>
      <w:proofErr w:type="spellStart"/>
      <w:r>
        <w:rPr>
          <w:rFonts w:ascii="Times New Roman" w:eastAsia="Times New Roman" w:hAnsi="Times New Roman" w:cs="Times New Roman"/>
          <w:sz w:val="24"/>
          <w:szCs w:val="24"/>
        </w:rPr>
        <w:t>Scotistic</w:t>
      </w:r>
      <w:proofErr w:type="spellEnd"/>
      <w:r>
        <w:rPr>
          <w:rFonts w:ascii="Times New Roman" w:eastAsia="Times New Roman" w:hAnsi="Times New Roman" w:cs="Times New Roman"/>
          <w:sz w:val="24"/>
          <w:szCs w:val="24"/>
        </w:rPr>
        <w:t xml:space="preserve"> doctrine of the formal distinction has some radical consequences; given this and the indispensability of the formal distinction in Scotus’s system, it is unsurprising that later followers of Scotus and their opponents–especially Thomists–engaged in protracted debate over the formal distinction. Thomists, on the one hand, urged that Scotus’s formal distinction could not be made sense of. </w:t>
      </w:r>
      <w:proofErr w:type="spellStart"/>
      <w:r>
        <w:rPr>
          <w:rFonts w:ascii="Times New Roman" w:eastAsia="Times New Roman" w:hAnsi="Times New Roman" w:cs="Times New Roman"/>
          <w:sz w:val="24"/>
          <w:szCs w:val="24"/>
        </w:rPr>
        <w:t>Scotists</w:t>
      </w:r>
      <w:proofErr w:type="spellEnd"/>
      <w:r>
        <w:rPr>
          <w:rFonts w:ascii="Times New Roman" w:eastAsia="Times New Roman" w:hAnsi="Times New Roman" w:cs="Times New Roman"/>
          <w:sz w:val="24"/>
          <w:szCs w:val="24"/>
        </w:rPr>
        <w:t xml:space="preserve">, on the other hand, argued forcefully that the formal distinction is indispensable. No argument for the formal distinction caused more consternation than a now little-discussed argument that came to be known as the </w:t>
      </w:r>
      <w:proofErr w:type="spellStart"/>
      <w:r>
        <w:rPr>
          <w:rFonts w:ascii="Times New Roman" w:eastAsia="Times New Roman" w:hAnsi="Times New Roman" w:cs="Times New Roman"/>
          <w:i/>
          <w:sz w:val="24"/>
          <w:szCs w:val="24"/>
        </w:rPr>
        <w:t>Scotistic</w:t>
      </w:r>
      <w:proofErr w:type="spellEnd"/>
      <w:r>
        <w:rPr>
          <w:rFonts w:ascii="Times New Roman" w:eastAsia="Times New Roman" w:hAnsi="Times New Roman" w:cs="Times New Roman"/>
          <w:i/>
          <w:sz w:val="24"/>
          <w:szCs w:val="24"/>
        </w:rPr>
        <w:t xml:space="preserve"> Achilles</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 The Jesuit scholastic Rodrigo Arriaga characterizes the Achilles as “exceedingly difficult”</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xml:space="preserve"> and the famed Thomist Tommaso Cajetan addresses this argument, prompted by the works of “</w:t>
      </w:r>
      <w:proofErr w:type="spellStart"/>
      <w:r>
        <w:rPr>
          <w:rFonts w:ascii="Times New Roman" w:eastAsia="Times New Roman" w:hAnsi="Times New Roman" w:cs="Times New Roman"/>
          <w:sz w:val="24"/>
          <w:szCs w:val="24"/>
        </w:rPr>
        <w:t>Scotists</w:t>
      </w:r>
      <w:proofErr w:type="spellEnd"/>
      <w:r>
        <w:rPr>
          <w:rFonts w:ascii="Times New Roman" w:eastAsia="Times New Roman" w:hAnsi="Times New Roman" w:cs="Times New Roman"/>
          <w:sz w:val="24"/>
          <w:szCs w:val="24"/>
        </w:rPr>
        <w:t xml:space="preserve"> and other annoying people.”</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xml:space="preserve"> </w:t>
      </w:r>
    </w:p>
    <w:p w14:paraId="00000006" w14:textId="77777777" w:rsidR="008D1538" w:rsidRDefault="00000000">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“exceedingly difficult” argument, due originally to Scotus, amounts to a derivation of the formal distinction from theses about God that were widely held among the scholastics</w:t>
      </w: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Later Thomists and those who sought to resist the </w:t>
      </w:r>
      <w:proofErr w:type="spellStart"/>
      <w:r>
        <w:rPr>
          <w:rFonts w:ascii="Times New Roman" w:eastAsia="Times New Roman" w:hAnsi="Times New Roman" w:cs="Times New Roman"/>
          <w:sz w:val="24"/>
          <w:szCs w:val="24"/>
        </w:rPr>
        <w:t>Scotistic</w:t>
      </w:r>
      <w:proofErr w:type="spellEnd"/>
      <w:r>
        <w:rPr>
          <w:rFonts w:ascii="Times New Roman" w:eastAsia="Times New Roman" w:hAnsi="Times New Roman" w:cs="Times New Roman"/>
          <w:sz w:val="24"/>
          <w:szCs w:val="24"/>
        </w:rPr>
        <w:t xml:space="preserve"> doctrine of the formal distinction offered different responses to the Achilles: respondents grant that </w:t>
      </w:r>
      <w:r>
        <w:rPr>
          <w:rFonts w:ascii="Times New Roman" w:eastAsia="Times New Roman" w:hAnsi="Times New Roman" w:cs="Times New Roman"/>
          <w:i/>
          <w:sz w:val="24"/>
          <w:szCs w:val="24"/>
        </w:rPr>
        <w:t xml:space="preserve">some </w:t>
      </w:r>
      <w:r>
        <w:rPr>
          <w:rFonts w:ascii="Times New Roman" w:eastAsia="Times New Roman" w:hAnsi="Times New Roman" w:cs="Times New Roman"/>
          <w:sz w:val="24"/>
          <w:szCs w:val="24"/>
        </w:rPr>
        <w:t xml:space="preserve">middle distinction is required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make sense of their shared common ground, while also insisting that some middle </w:t>
      </w:r>
      <w:r>
        <w:rPr>
          <w:rFonts w:ascii="Times New Roman" w:eastAsia="Times New Roman" w:hAnsi="Times New Roman" w:cs="Times New Roman"/>
          <w:sz w:val="24"/>
          <w:szCs w:val="24"/>
        </w:rPr>
        <w:lastRenderedPageBreak/>
        <w:t xml:space="preserve">distinction </w:t>
      </w:r>
      <w:r>
        <w:rPr>
          <w:rFonts w:ascii="Times New Roman" w:eastAsia="Times New Roman" w:hAnsi="Times New Roman" w:cs="Times New Roman"/>
          <w:i/>
          <w:sz w:val="24"/>
          <w:szCs w:val="24"/>
        </w:rPr>
        <w:t xml:space="preserve">other than </w:t>
      </w:r>
      <w:r>
        <w:rPr>
          <w:rFonts w:ascii="Times New Roman" w:eastAsia="Times New Roman" w:hAnsi="Times New Roman" w:cs="Times New Roman"/>
          <w:sz w:val="24"/>
          <w:szCs w:val="24"/>
        </w:rPr>
        <w:t xml:space="preserve">Scotus’s suffices. The main alternative to the formal distinction in this context is the so-called </w:t>
      </w:r>
      <w:r>
        <w:rPr>
          <w:rFonts w:ascii="Times New Roman" w:eastAsia="Times New Roman" w:hAnsi="Times New Roman" w:cs="Times New Roman"/>
          <w:i/>
          <w:sz w:val="24"/>
          <w:szCs w:val="24"/>
        </w:rPr>
        <w:t>virtual distinction</w:t>
      </w:r>
      <w:r>
        <w:rPr>
          <w:rFonts w:ascii="Times New Roman" w:eastAsia="Times New Roman" w:hAnsi="Times New Roman" w:cs="Times New Roman"/>
          <w:sz w:val="24"/>
          <w:szCs w:val="24"/>
        </w:rPr>
        <w:t xml:space="preserve">, which has its roots in Aquinas. </w:t>
      </w:r>
    </w:p>
    <w:p w14:paraId="00000007" w14:textId="77777777" w:rsidR="008D1538" w:rsidRDefault="00000000">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virtual distinction, like the formal distinction, proves to be critical in many scholastic philosophical systems, including even those of some </w:t>
      </w:r>
      <w:proofErr w:type="spellStart"/>
      <w:r>
        <w:rPr>
          <w:rFonts w:ascii="Times New Roman" w:eastAsia="Times New Roman" w:hAnsi="Times New Roman" w:cs="Times New Roman"/>
          <w:sz w:val="24"/>
          <w:szCs w:val="24"/>
        </w:rPr>
        <w:t>Scotists</w:t>
      </w:r>
      <w:proofErr w:type="spellEnd"/>
      <w:r>
        <w:rPr>
          <w:rFonts w:ascii="Times New Roman" w:eastAsia="Times New Roman" w:hAnsi="Times New Roman" w:cs="Times New Roman"/>
          <w:sz w:val="24"/>
          <w:szCs w:val="24"/>
        </w:rPr>
        <w:t>. Moreover, for many Thomists, the virtual distinction is supposed to do much of the philosophical work that would otherwise be done by Scotus’s formal distinction.</w:t>
      </w:r>
      <w:r>
        <w:rPr>
          <w:rFonts w:ascii="Times New Roman" w:eastAsia="Times New Roman" w:hAnsi="Times New Roman" w:cs="Times New Roman"/>
          <w:sz w:val="24"/>
          <w:szCs w:val="24"/>
          <w:vertAlign w:val="superscript"/>
        </w:rPr>
        <w:footnoteReference w:id="8"/>
      </w:r>
      <w:r>
        <w:rPr>
          <w:rFonts w:ascii="Times New Roman" w:eastAsia="Times New Roman" w:hAnsi="Times New Roman" w:cs="Times New Roman"/>
          <w:sz w:val="24"/>
          <w:szCs w:val="24"/>
        </w:rPr>
        <w:t xml:space="preserve"> At stake then, was not only the metaphysics of the middle distinction, but also its diverse applications; for example, few scholastic theories of universals, the categories, real definitions, divine simplicity, or many other things can even get off the ground without some middle distinction. Thus, the dispute over middle distinctions has huge ramifications, and the Achilles argument is at the center of the action; one cannot understand this celebrated dispute without first understanding the Achilles. Moreover, as we shall argue, one cannot even understand the various distinctions being argued for–i.e. the formal and virtual distinctions themselves–without understanding the Achilles. For in response to the Achilles, the virtual distinction is pushed to its limits, revealing that the Thomists themselves do not agree on what it is or how it functions. </w:t>
      </w:r>
      <w:proofErr w:type="gramStart"/>
      <w:r>
        <w:rPr>
          <w:rFonts w:ascii="Times New Roman" w:eastAsia="Times New Roman" w:hAnsi="Times New Roman" w:cs="Times New Roman"/>
          <w:sz w:val="24"/>
          <w:szCs w:val="24"/>
        </w:rPr>
        <w:t>Thus</w:t>
      </w:r>
      <w:proofErr w:type="gramEnd"/>
      <w:r>
        <w:rPr>
          <w:rFonts w:ascii="Times New Roman" w:eastAsia="Times New Roman" w:hAnsi="Times New Roman" w:cs="Times New Roman"/>
          <w:sz w:val="24"/>
          <w:szCs w:val="24"/>
        </w:rPr>
        <w:t xml:space="preserve"> only a study of the Achilles makes clear not only how the crucially philosophically important debate between the Thomists and </w:t>
      </w:r>
      <w:proofErr w:type="spellStart"/>
      <w:r>
        <w:rPr>
          <w:rFonts w:ascii="Times New Roman" w:eastAsia="Times New Roman" w:hAnsi="Times New Roman" w:cs="Times New Roman"/>
          <w:sz w:val="24"/>
          <w:szCs w:val="24"/>
        </w:rPr>
        <w:t>Scotists</w:t>
      </w:r>
      <w:proofErr w:type="spellEnd"/>
      <w:r>
        <w:rPr>
          <w:rFonts w:ascii="Times New Roman" w:eastAsia="Times New Roman" w:hAnsi="Times New Roman" w:cs="Times New Roman"/>
          <w:sz w:val="24"/>
          <w:szCs w:val="24"/>
        </w:rPr>
        <w:t xml:space="preserve"> on distinctions proceeds, but also what the various positions in the larger debate even are.   </w:t>
      </w:r>
    </w:p>
    <w:p w14:paraId="00000008" w14:textId="77777777" w:rsidR="008D1538" w:rsidRDefault="00000000">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Scotus’s argument proved to be a very influential critique of Aquinas and others; moreover, the virtual distinction is an important tool in the Thomistic toolbox, both historically and today. Further, many scholastics give radical responses to the Achilles. For instance,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develop </w:t>
      </w:r>
      <w:r>
        <w:rPr>
          <w:rFonts w:ascii="Times New Roman" w:eastAsia="Times New Roman" w:hAnsi="Times New Roman" w:cs="Times New Roman"/>
          <w:sz w:val="24"/>
          <w:szCs w:val="24"/>
        </w:rPr>
        <w:lastRenderedPageBreak/>
        <w:t xml:space="preserve">a consistent response to the Achilles, the </w:t>
      </w:r>
      <w:proofErr w:type="spellStart"/>
      <w:r>
        <w:rPr>
          <w:rFonts w:ascii="Times New Roman" w:eastAsia="Times New Roman" w:hAnsi="Times New Roman" w:cs="Times New Roman"/>
          <w:sz w:val="24"/>
          <w:szCs w:val="24"/>
        </w:rPr>
        <w:t>Salmantincenses</w:t>
      </w:r>
      <w:proofErr w:type="spellEnd"/>
      <w:r>
        <w:rPr>
          <w:rFonts w:ascii="Times New Roman" w:eastAsia="Times New Roman" w:hAnsi="Times New Roman" w:cs="Times New Roman"/>
          <w:sz w:val="24"/>
          <w:szCs w:val="24"/>
        </w:rPr>
        <w:t xml:space="preserve"> develop a position that bears a strong resemblance to a recent, somewhat radical view defended by Timothy Pawl. And for others, no price was too high to avoid the </w:t>
      </w:r>
      <w:proofErr w:type="spellStart"/>
      <w:r>
        <w:rPr>
          <w:rFonts w:ascii="Times New Roman" w:eastAsia="Times New Roman" w:hAnsi="Times New Roman" w:cs="Times New Roman"/>
          <w:sz w:val="24"/>
          <w:szCs w:val="24"/>
        </w:rPr>
        <w:t>Scotistic</w:t>
      </w:r>
      <w:proofErr w:type="spellEnd"/>
      <w:r>
        <w:rPr>
          <w:rFonts w:ascii="Times New Roman" w:eastAsia="Times New Roman" w:hAnsi="Times New Roman" w:cs="Times New Roman"/>
          <w:sz w:val="24"/>
          <w:szCs w:val="24"/>
        </w:rPr>
        <w:t xml:space="preserve"> conclusion: some respond to the argument by positing true contradictions in the Godhead, a proposal defended today by </w:t>
      </w:r>
      <w:proofErr w:type="spellStart"/>
      <w:r>
        <w:rPr>
          <w:rFonts w:ascii="Times New Roman" w:eastAsia="Times New Roman" w:hAnsi="Times New Roman" w:cs="Times New Roman"/>
          <w:sz w:val="24"/>
          <w:szCs w:val="24"/>
        </w:rPr>
        <w:t>Jc</w:t>
      </w:r>
      <w:proofErr w:type="spellEnd"/>
      <w:r>
        <w:rPr>
          <w:rFonts w:ascii="Times New Roman" w:eastAsia="Times New Roman" w:hAnsi="Times New Roman" w:cs="Times New Roman"/>
          <w:sz w:val="24"/>
          <w:szCs w:val="24"/>
        </w:rPr>
        <w:t xml:space="preserve"> Beall. Our discussion is thus also of interest to contemporary philosophers of religion and philosophical logicians.</w:t>
      </w:r>
    </w:p>
    <w:p w14:paraId="00000009" w14:textId="77777777" w:rsidR="008D1538" w:rsidRDefault="00000000">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begin our study, in section I, we give an overview of the two middle distinctions mentioned above: the formal distinction and the virtual distinction. In section II, after presenting the theological context for Scotus’s Achilles, we present the argument itself. In sections III-V we detail the various strategies Thomists (and some Nominalists) adopted for putting the virtual distinction to work in responding to the Achilles; additionally, we show that each strategy is costly, and some are clearly inadequate. </w:t>
      </w:r>
    </w:p>
    <w:p w14:paraId="0000000A" w14:textId="77777777" w:rsidR="008D1538" w:rsidRDefault="00000000">
      <w:pPr>
        <w:spacing w:after="200"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The Formal Distinction &amp; The Virtual Distinction</w:t>
      </w:r>
    </w:p>
    <w:p w14:paraId="0000000B" w14:textId="77777777" w:rsidR="008D1538" w:rsidRDefault="00000000">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doctrine of the formal distinction is one of the characteristic theses advanced by Scotus and his followers. The formal distinction is a middle distinction</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xml:space="preserve"> between identical items. In recent scholarship, what it is for some items to be </w:t>
      </w:r>
      <w:r>
        <w:rPr>
          <w:rFonts w:ascii="Times New Roman" w:eastAsia="Times New Roman" w:hAnsi="Times New Roman" w:cs="Times New Roman"/>
          <w:i/>
          <w:sz w:val="24"/>
          <w:szCs w:val="24"/>
        </w:rPr>
        <w:t>identical</w:t>
      </w:r>
      <w:r>
        <w:rPr>
          <w:rFonts w:ascii="Times New Roman" w:eastAsia="Times New Roman" w:hAnsi="Times New Roman" w:cs="Times New Roman"/>
          <w:sz w:val="24"/>
          <w:szCs w:val="24"/>
        </w:rPr>
        <w:t>, according to Scotus, is a matter of dispute; it is not our task to wade into those debates.</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 xml:space="preserve"> Whatever the conditions for identity are, </w:t>
      </w:r>
      <w:proofErr w:type="gramStart"/>
      <w:r>
        <w:rPr>
          <w:rFonts w:ascii="Times New Roman" w:eastAsia="Times New Roman" w:hAnsi="Times New Roman" w:cs="Times New Roman"/>
          <w:sz w:val="24"/>
          <w:szCs w:val="24"/>
        </w:rPr>
        <w:t>it is clear that for</w:t>
      </w:r>
      <w:proofErr w:type="gramEnd"/>
      <w:r>
        <w:rPr>
          <w:rFonts w:ascii="Times New Roman" w:eastAsia="Times New Roman" w:hAnsi="Times New Roman" w:cs="Times New Roman"/>
          <w:sz w:val="24"/>
          <w:szCs w:val="24"/>
        </w:rPr>
        <w:t xml:space="preserve"> Scotus, only identical items can be formally distinct. </w:t>
      </w:r>
    </w:p>
    <w:p w14:paraId="0000000C" w14:textId="77777777" w:rsidR="008D1538" w:rsidRDefault="00000000">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Like a merely conceptual distinction, a formal distinction distinguishes between identical entities; like a real distinction, the formal distinction is </w:t>
      </w:r>
      <w:proofErr w:type="gramStart"/>
      <w:r>
        <w:rPr>
          <w:rFonts w:ascii="Times New Roman" w:eastAsia="Times New Roman" w:hAnsi="Times New Roman" w:cs="Times New Roman"/>
          <w:sz w:val="24"/>
          <w:szCs w:val="24"/>
        </w:rPr>
        <w:t>mind-independent</w:t>
      </w:r>
      <w:proofErr w:type="gramEnd"/>
      <w:r>
        <w:rPr>
          <w:rFonts w:ascii="Times New Roman" w:eastAsia="Times New Roman" w:hAnsi="Times New Roman" w:cs="Times New Roman"/>
          <w:sz w:val="24"/>
          <w:szCs w:val="24"/>
        </w:rPr>
        <w:t>. This leads to failures of the indiscernibility of identicals: on Scotus’s view of identity, x and y can be identical while also being distinguishable in certain respects.</w:t>
      </w:r>
      <w:r>
        <w:rPr>
          <w:rFonts w:ascii="Times New Roman" w:eastAsia="Times New Roman" w:hAnsi="Times New Roman" w:cs="Times New Roman"/>
          <w:sz w:val="24"/>
          <w:szCs w:val="24"/>
          <w:vertAlign w:val="superscript"/>
        </w:rPr>
        <w:footnoteReference w:id="11"/>
      </w:r>
      <w:r>
        <w:rPr>
          <w:rFonts w:ascii="Times New Roman" w:eastAsia="Times New Roman" w:hAnsi="Times New Roman" w:cs="Times New Roman"/>
          <w:sz w:val="24"/>
          <w:szCs w:val="24"/>
        </w:rPr>
        <w:t xml:space="preserve"> Scotus’s criteria for the formal distinction are as follows:</w:t>
      </w:r>
      <w:r>
        <w:rPr>
          <w:rFonts w:ascii="Times New Roman" w:eastAsia="Times New Roman" w:hAnsi="Times New Roman" w:cs="Times New Roman"/>
          <w:sz w:val="24"/>
          <w:szCs w:val="24"/>
          <w:vertAlign w:val="superscript"/>
        </w:rPr>
        <w:footnoteReference w:id="12"/>
      </w:r>
    </w:p>
    <w:p w14:paraId="0000000D" w14:textId="77777777" w:rsidR="008D1538" w:rsidRDefault="00000000">
      <w:pPr>
        <w:spacing w:after="200" w:line="24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FORMAL DISTINCTION: x is formally distinct from y </w:t>
      </w:r>
      <w:proofErr w:type="spellStart"/>
      <w:r>
        <w:rPr>
          <w:rFonts w:ascii="Times New Roman" w:eastAsia="Times New Roman" w:hAnsi="Times New Roman" w:cs="Times New Roman"/>
          <w:sz w:val="24"/>
          <w:szCs w:val="24"/>
        </w:rPr>
        <w:t>iff</w:t>
      </w:r>
      <w:proofErr w:type="spellEnd"/>
      <w:r>
        <w:rPr>
          <w:rFonts w:ascii="Times New Roman" w:eastAsia="Times New Roman" w:hAnsi="Times New Roman" w:cs="Times New Roman"/>
          <w:sz w:val="24"/>
          <w:szCs w:val="24"/>
        </w:rPr>
        <w:t xml:space="preserve"> 1) x and y are identical and 2) the </w:t>
      </w:r>
      <w:r>
        <w:rPr>
          <w:rFonts w:ascii="Times New Roman" w:eastAsia="Times New Roman" w:hAnsi="Times New Roman" w:cs="Times New Roman"/>
          <w:i/>
          <w:sz w:val="24"/>
          <w:szCs w:val="24"/>
        </w:rPr>
        <w:t>ratio</w:t>
      </w:r>
      <w:r>
        <w:rPr>
          <w:rFonts w:ascii="Times New Roman" w:eastAsia="Times New Roman" w:hAnsi="Times New Roman" w:cs="Times New Roman"/>
          <w:sz w:val="24"/>
          <w:szCs w:val="24"/>
        </w:rPr>
        <w:t xml:space="preserve"> of y is not included in the </w:t>
      </w:r>
      <w:r>
        <w:rPr>
          <w:rFonts w:ascii="Times New Roman" w:eastAsia="Times New Roman" w:hAnsi="Times New Roman" w:cs="Times New Roman"/>
          <w:i/>
          <w:sz w:val="24"/>
          <w:szCs w:val="24"/>
        </w:rPr>
        <w:t>ratio</w:t>
      </w:r>
      <w:r>
        <w:rPr>
          <w:rFonts w:ascii="Times New Roman" w:eastAsia="Times New Roman" w:hAnsi="Times New Roman" w:cs="Times New Roman"/>
          <w:sz w:val="24"/>
          <w:szCs w:val="24"/>
        </w:rPr>
        <w:t xml:space="preserve"> of x.</w:t>
      </w:r>
    </w:p>
    <w:p w14:paraId="0000000E" w14:textId="77777777" w:rsidR="008D1538" w:rsidRDefault="00000000">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condition has been discussed; the second, crucially, invokes the notion of a </w:t>
      </w:r>
      <w:r>
        <w:rPr>
          <w:rFonts w:ascii="Times New Roman" w:eastAsia="Times New Roman" w:hAnsi="Times New Roman" w:cs="Times New Roman"/>
          <w:i/>
          <w:sz w:val="24"/>
          <w:szCs w:val="24"/>
        </w:rPr>
        <w:t>ratio</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Rationes </w:t>
      </w:r>
      <w:r>
        <w:rPr>
          <w:rFonts w:ascii="Times New Roman" w:eastAsia="Times New Roman" w:hAnsi="Times New Roman" w:cs="Times New Roman"/>
          <w:sz w:val="24"/>
          <w:szCs w:val="24"/>
        </w:rPr>
        <w:t>are, roughly, real definitions; they characterize the mind-independent quiddity or whatness of a thing.</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 xml:space="preserve"> So, as Cross puts it, “roughly, [...] [x and y] are formally distinct if and only if they are both really identical and susceptible of definition independently of each other.”</w:t>
      </w:r>
      <w:r>
        <w:rPr>
          <w:rFonts w:ascii="Times New Roman" w:eastAsia="Times New Roman" w:hAnsi="Times New Roman" w:cs="Times New Roman"/>
          <w:sz w:val="24"/>
          <w:szCs w:val="24"/>
          <w:vertAlign w:val="superscript"/>
        </w:rPr>
        <w:footnoteReference w:id="14"/>
      </w:r>
      <w:r>
        <w:rPr>
          <w:rFonts w:ascii="Times New Roman" w:eastAsia="Times New Roman" w:hAnsi="Times New Roman" w:cs="Times New Roman"/>
          <w:sz w:val="24"/>
          <w:szCs w:val="24"/>
        </w:rPr>
        <w:t xml:space="preserve"> Because the definitions mentioned are real definitions, the formal distinction is not a merely conceptual distinction; if x and y are formally distinct, they are distinct prior to any act of the intellect. In other words, that x and y are formally distinct is not a matter of how anyone conceives of x, or y, or x and y together; they would still be formally distinct even if, </w:t>
      </w:r>
      <w:r>
        <w:rPr>
          <w:rFonts w:ascii="Times New Roman" w:eastAsia="Times New Roman" w:hAnsi="Times New Roman" w:cs="Times New Roman"/>
          <w:i/>
          <w:sz w:val="24"/>
          <w:szCs w:val="24"/>
        </w:rPr>
        <w:t xml:space="preserve">per </w:t>
      </w:r>
      <w:proofErr w:type="spellStart"/>
      <w:r>
        <w:rPr>
          <w:rFonts w:ascii="Times New Roman" w:eastAsia="Times New Roman" w:hAnsi="Times New Roman" w:cs="Times New Roman"/>
          <w:i/>
          <w:sz w:val="24"/>
          <w:szCs w:val="24"/>
        </w:rPr>
        <w:t>impossibile</w:t>
      </w:r>
      <w:proofErr w:type="spellEnd"/>
      <w:r>
        <w:rPr>
          <w:rFonts w:ascii="Times New Roman" w:eastAsia="Times New Roman" w:hAnsi="Times New Roman" w:cs="Times New Roman"/>
          <w:sz w:val="24"/>
          <w:szCs w:val="24"/>
        </w:rPr>
        <w:t xml:space="preserve">, there were no minds. It is this–for most purposes–that makes the formal distinction unique: wherever there is identity along with some distinction prior to any act of the intellect, there we have a formal distinction. </w:t>
      </w:r>
    </w:p>
    <w:p w14:paraId="0000000F" w14:textId="77777777" w:rsidR="008D1538" w:rsidRDefault="00000000">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Scotus’s doctrine of the formal distinction, not to mention its many applications, were understandably controversial. Among the scholastics, almost every non-</w:t>
      </w:r>
      <w:proofErr w:type="spellStart"/>
      <w:r>
        <w:rPr>
          <w:rFonts w:ascii="Times New Roman" w:eastAsia="Times New Roman" w:hAnsi="Times New Roman" w:cs="Times New Roman"/>
          <w:sz w:val="24"/>
          <w:szCs w:val="24"/>
        </w:rPr>
        <w:t>Scotist</w:t>
      </w:r>
      <w:proofErr w:type="spellEnd"/>
      <w:r>
        <w:rPr>
          <w:rFonts w:ascii="Times New Roman" w:eastAsia="Times New Roman" w:hAnsi="Times New Roman" w:cs="Times New Roman"/>
          <w:sz w:val="24"/>
          <w:szCs w:val="24"/>
        </w:rPr>
        <w:t xml:space="preserve"> rejected the formal distinction;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explain the same phenomena (the distinction between genus and difference, intellect and will, etc.), non-</w:t>
      </w:r>
      <w:proofErr w:type="spellStart"/>
      <w:r>
        <w:rPr>
          <w:rFonts w:ascii="Times New Roman" w:eastAsia="Times New Roman" w:hAnsi="Times New Roman" w:cs="Times New Roman"/>
          <w:sz w:val="24"/>
          <w:szCs w:val="24"/>
        </w:rPr>
        <w:t>Scotists</w:t>
      </w:r>
      <w:proofErr w:type="spellEnd"/>
      <w:r>
        <w:rPr>
          <w:rFonts w:ascii="Times New Roman" w:eastAsia="Times New Roman" w:hAnsi="Times New Roman" w:cs="Times New Roman"/>
          <w:sz w:val="24"/>
          <w:szCs w:val="24"/>
        </w:rPr>
        <w:t xml:space="preserve"> appealed to other metaphysical tools at their disposal. Among Thomists, the most popular alternative to the formal distinction was the middle distinction known as the </w:t>
      </w:r>
      <w:r>
        <w:rPr>
          <w:rFonts w:ascii="Times New Roman" w:eastAsia="Times New Roman" w:hAnsi="Times New Roman" w:cs="Times New Roman"/>
          <w:i/>
          <w:sz w:val="24"/>
          <w:szCs w:val="24"/>
        </w:rPr>
        <w:t>virtual distinction</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15"/>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footnoteReference w:id="16"/>
      </w:r>
      <w:r>
        <w:rPr>
          <w:rFonts w:ascii="Times New Roman" w:eastAsia="Times New Roman" w:hAnsi="Times New Roman" w:cs="Times New Roman"/>
          <w:sz w:val="24"/>
          <w:szCs w:val="24"/>
        </w:rPr>
        <w:t xml:space="preserve"> </w:t>
      </w:r>
    </w:p>
    <w:p w14:paraId="00000010" w14:textId="77777777" w:rsidR="008D1538" w:rsidRDefault="00000000">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the Thomists, there are only two (broad) kinds of distinction: real distinctions and conceptual distinctions (importantly, not </w:t>
      </w:r>
      <w:r>
        <w:rPr>
          <w:rFonts w:ascii="Times New Roman" w:eastAsia="Times New Roman" w:hAnsi="Times New Roman" w:cs="Times New Roman"/>
          <w:i/>
          <w:sz w:val="24"/>
          <w:szCs w:val="24"/>
        </w:rPr>
        <w:t xml:space="preserve">merely </w:t>
      </w:r>
      <w:r>
        <w:rPr>
          <w:rFonts w:ascii="Times New Roman" w:eastAsia="Times New Roman" w:hAnsi="Times New Roman" w:cs="Times New Roman"/>
          <w:sz w:val="24"/>
          <w:szCs w:val="24"/>
        </w:rPr>
        <w:t xml:space="preserve">conceptual distinctions). Real distinctions, as the famed 17th-century Thomist John of St. Thomas defines them, are “a lack of identity which is there </w:t>
      </w:r>
      <w:r>
        <w:rPr>
          <w:rFonts w:ascii="Times New Roman" w:eastAsia="Times New Roman" w:hAnsi="Times New Roman" w:cs="Times New Roman"/>
          <w:i/>
          <w:sz w:val="24"/>
          <w:szCs w:val="24"/>
        </w:rPr>
        <w:t xml:space="preserve">a </w:t>
      </w:r>
      <w:proofErr w:type="spellStart"/>
      <w:r>
        <w:rPr>
          <w:rFonts w:ascii="Times New Roman" w:eastAsia="Times New Roman" w:hAnsi="Times New Roman" w:cs="Times New Roman"/>
          <w:i/>
          <w:sz w:val="24"/>
          <w:szCs w:val="24"/>
        </w:rPr>
        <w:t>parte</w:t>
      </w:r>
      <w:proofErr w:type="spellEnd"/>
      <w:r>
        <w:rPr>
          <w:rFonts w:ascii="Times New Roman" w:eastAsia="Times New Roman" w:hAnsi="Times New Roman" w:cs="Times New Roman"/>
          <w:i/>
          <w:sz w:val="24"/>
          <w:szCs w:val="24"/>
        </w:rPr>
        <w:t xml:space="preserve"> rei</w:t>
      </w:r>
      <w:r>
        <w:rPr>
          <w:rFonts w:ascii="Times New Roman" w:eastAsia="Times New Roman" w:hAnsi="Times New Roman" w:cs="Times New Roman"/>
          <w:sz w:val="24"/>
          <w:szCs w:val="24"/>
        </w:rPr>
        <w:t>, without apprehension or a fiction of the intellect.”</w:t>
      </w:r>
      <w:r>
        <w:rPr>
          <w:rFonts w:ascii="Times New Roman" w:eastAsia="Times New Roman" w:hAnsi="Times New Roman" w:cs="Times New Roman"/>
          <w:sz w:val="24"/>
          <w:szCs w:val="24"/>
          <w:vertAlign w:val="superscript"/>
        </w:rPr>
        <w:footnoteReference w:id="17"/>
      </w:r>
      <w:r>
        <w:rPr>
          <w:rFonts w:ascii="Times New Roman" w:eastAsia="Times New Roman" w:hAnsi="Times New Roman" w:cs="Times New Roman"/>
          <w:sz w:val="24"/>
          <w:szCs w:val="24"/>
        </w:rPr>
        <w:t xml:space="preserve"> A group of 18th-century Benedictine Thomists led by John the Evangelist Schiferl wrote a treatise dedicated exclusively to the defense of the virtual distinction, and there he defines a real distinction as “what obtains between two extremes, one of which </w:t>
      </w:r>
      <w:r>
        <w:rPr>
          <w:rFonts w:ascii="Times New Roman" w:eastAsia="Times New Roman" w:hAnsi="Times New Roman" w:cs="Times New Roman"/>
          <w:i/>
          <w:sz w:val="24"/>
          <w:szCs w:val="24"/>
        </w:rPr>
        <w:t xml:space="preserve">prior to any act of the intellect </w:t>
      </w:r>
      <w:r>
        <w:rPr>
          <w:rFonts w:ascii="Times New Roman" w:eastAsia="Times New Roman" w:hAnsi="Times New Roman" w:cs="Times New Roman"/>
          <w:sz w:val="24"/>
          <w:szCs w:val="24"/>
        </w:rPr>
        <w:t>is not the other.”</w:t>
      </w:r>
      <w:r>
        <w:rPr>
          <w:rFonts w:ascii="Times New Roman" w:eastAsia="Times New Roman" w:hAnsi="Times New Roman" w:cs="Times New Roman"/>
          <w:sz w:val="24"/>
          <w:szCs w:val="24"/>
          <w:vertAlign w:val="superscript"/>
        </w:rPr>
        <w:footnoteReference w:id="18"/>
      </w:r>
      <w:r>
        <w:rPr>
          <w:rFonts w:ascii="Times New Roman" w:eastAsia="Times New Roman" w:hAnsi="Times New Roman" w:cs="Times New Roman"/>
          <w:sz w:val="24"/>
          <w:szCs w:val="24"/>
        </w:rPr>
        <w:t xml:space="preserve"> Because, for the Thomists, any distinction which obtains </w:t>
      </w:r>
      <w:r>
        <w:rPr>
          <w:rFonts w:ascii="Times New Roman" w:eastAsia="Times New Roman" w:hAnsi="Times New Roman" w:cs="Times New Roman"/>
          <w:i/>
          <w:sz w:val="24"/>
          <w:szCs w:val="24"/>
        </w:rPr>
        <w:t>ex natura rei</w:t>
      </w:r>
      <w:r>
        <w:rPr>
          <w:rFonts w:ascii="Times New Roman" w:eastAsia="Times New Roman" w:hAnsi="Times New Roman" w:cs="Times New Roman"/>
          <w:sz w:val="24"/>
          <w:szCs w:val="24"/>
        </w:rPr>
        <w:t xml:space="preserve"> is real, the formal distinction turns out to be incoherent: it posits a distinction </w:t>
      </w:r>
      <w:r>
        <w:rPr>
          <w:rFonts w:ascii="Times New Roman" w:eastAsia="Times New Roman" w:hAnsi="Times New Roman" w:cs="Times New Roman"/>
          <w:i/>
          <w:sz w:val="24"/>
          <w:szCs w:val="24"/>
        </w:rPr>
        <w:t xml:space="preserve">ex natura rei </w:t>
      </w:r>
      <w:r>
        <w:rPr>
          <w:rFonts w:ascii="Times New Roman" w:eastAsia="Times New Roman" w:hAnsi="Times New Roman" w:cs="Times New Roman"/>
          <w:sz w:val="24"/>
          <w:szCs w:val="24"/>
        </w:rPr>
        <w:t>alongside identity, which in Thomistic terminology amounts to posting a distinction that is and is not a real distinction.</w:t>
      </w:r>
      <w:r>
        <w:rPr>
          <w:rFonts w:ascii="Times New Roman" w:eastAsia="Times New Roman" w:hAnsi="Times New Roman" w:cs="Times New Roman"/>
          <w:sz w:val="24"/>
          <w:szCs w:val="24"/>
          <w:vertAlign w:val="superscript"/>
        </w:rPr>
        <w:footnoteReference w:id="19"/>
      </w:r>
      <w:r>
        <w:rPr>
          <w:rFonts w:ascii="Times New Roman" w:eastAsia="Times New Roman" w:hAnsi="Times New Roman" w:cs="Times New Roman"/>
          <w:sz w:val="24"/>
          <w:szCs w:val="24"/>
        </w:rPr>
        <w:t xml:space="preserve"> </w:t>
      </w:r>
    </w:p>
    <w:p w14:paraId="00000011" w14:textId="77777777" w:rsidR="008D1538" w:rsidRDefault="00000000">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By contrast, a conceptual distinction, in the words of John of St. Thomas, is present “by the beneficence of the intellect and is not there in reality”; in other words, as Schiferl says, it is present “between two really indistinct things, one of which, nevertheless, is not the other by the </w:t>
      </w:r>
      <w:r>
        <w:rPr>
          <w:rFonts w:ascii="Times New Roman" w:eastAsia="Times New Roman" w:hAnsi="Times New Roman" w:cs="Times New Roman"/>
          <w:i/>
          <w:sz w:val="24"/>
          <w:szCs w:val="24"/>
        </w:rPr>
        <w:t>beneficence of the intellect.</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20"/>
      </w:r>
      <w:r>
        <w:rPr>
          <w:rFonts w:ascii="Times New Roman" w:eastAsia="Times New Roman" w:hAnsi="Times New Roman" w:cs="Times New Roman"/>
          <w:sz w:val="24"/>
          <w:szCs w:val="24"/>
        </w:rPr>
        <w:t xml:space="preserve"> There is a conceptual distinction, then, in cases where we form different concepts of one of the same thing; paradigmatically, this happens in Frege puzzles, as when Lois Lane believes one thing about Superman and believes otherwise about Clark Kent, even though Superman and Clark Kent are identical. One kind of conceptual distinction is especially important for our purposes: a distinction between identical things which derives “from the intellect with a foundation not of itself fictive, but preexisting in reality.”</w:t>
      </w:r>
      <w:r>
        <w:rPr>
          <w:rFonts w:ascii="Times New Roman" w:eastAsia="Times New Roman" w:hAnsi="Times New Roman" w:cs="Times New Roman"/>
          <w:sz w:val="24"/>
          <w:szCs w:val="24"/>
          <w:vertAlign w:val="superscript"/>
        </w:rPr>
        <w:footnoteReference w:id="21"/>
      </w:r>
      <w:r>
        <w:rPr>
          <w:rFonts w:ascii="Times New Roman" w:eastAsia="Times New Roman" w:hAnsi="Times New Roman" w:cs="Times New Roman"/>
          <w:sz w:val="24"/>
          <w:szCs w:val="24"/>
        </w:rPr>
        <w:t xml:space="preserve"> In other words, this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is a distinction which is conceptual, but not merely so, because there is a foundation in reality; the object diversely conceived has a disposition to incline human intellects to understand it under multiple concepts. This foundation </w:t>
      </w:r>
      <w:proofErr w:type="gramStart"/>
      <w:r>
        <w:rPr>
          <w:rFonts w:ascii="Times New Roman" w:eastAsia="Times New Roman" w:hAnsi="Times New Roman" w:cs="Times New Roman"/>
          <w:sz w:val="24"/>
          <w:szCs w:val="24"/>
        </w:rPr>
        <w:t>in reality is</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the virtual distinction</w:t>
      </w:r>
      <w:r>
        <w:rPr>
          <w:rFonts w:ascii="Times New Roman" w:eastAsia="Times New Roman" w:hAnsi="Times New Roman" w:cs="Times New Roman"/>
          <w:sz w:val="24"/>
          <w:szCs w:val="24"/>
        </w:rPr>
        <w:t>, which is “the intrinsic containing of many perfections.”</w:t>
      </w:r>
      <w:r>
        <w:rPr>
          <w:rFonts w:ascii="Times New Roman" w:eastAsia="Times New Roman" w:hAnsi="Times New Roman" w:cs="Times New Roman"/>
          <w:sz w:val="24"/>
          <w:szCs w:val="24"/>
          <w:vertAlign w:val="superscript"/>
        </w:rPr>
        <w:footnoteReference w:id="22"/>
      </w:r>
      <w:r>
        <w:rPr>
          <w:rFonts w:ascii="Times New Roman" w:eastAsia="Times New Roman" w:hAnsi="Times New Roman" w:cs="Times New Roman"/>
          <w:sz w:val="24"/>
          <w:szCs w:val="24"/>
        </w:rPr>
        <w:t xml:space="preserve"> </w:t>
      </w:r>
    </w:p>
    <w:p w14:paraId="00000012" w14:textId="77777777" w:rsidR="008D1538" w:rsidRDefault="00000000">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(Having distinguished in this way between a </w:t>
      </w:r>
      <w:r>
        <w:rPr>
          <w:rFonts w:ascii="Times New Roman" w:eastAsia="Times New Roman" w:hAnsi="Times New Roman" w:cs="Times New Roman"/>
          <w:i/>
          <w:sz w:val="24"/>
          <w:szCs w:val="24"/>
        </w:rPr>
        <w:t>distinction</w:t>
      </w:r>
      <w:r>
        <w:rPr>
          <w:rFonts w:ascii="Times New Roman" w:eastAsia="Times New Roman" w:hAnsi="Times New Roman" w:cs="Times New Roman"/>
          <w:sz w:val="24"/>
          <w:szCs w:val="24"/>
        </w:rPr>
        <w:t xml:space="preserve">, drawn by the mind, and its extramental </w:t>
      </w:r>
      <w:proofErr w:type="gramStart"/>
      <w:r>
        <w:rPr>
          <w:rFonts w:ascii="Times New Roman" w:eastAsia="Times New Roman" w:hAnsi="Times New Roman" w:cs="Times New Roman"/>
          <w:i/>
          <w:sz w:val="24"/>
          <w:szCs w:val="24"/>
        </w:rPr>
        <w:t>foundation</w:t>
      </w:r>
      <w:r>
        <w:rPr>
          <w:rFonts w:ascii="Times New Roman" w:eastAsia="Times New Roman" w:hAnsi="Times New Roman" w:cs="Times New Roman"/>
          <w:sz w:val="24"/>
          <w:szCs w:val="24"/>
        </w:rPr>
        <w:t xml:space="preserve"> in reality, following</w:t>
      </w:r>
      <w:proofErr w:type="gramEnd"/>
      <w:r>
        <w:rPr>
          <w:rFonts w:ascii="Times New Roman" w:eastAsia="Times New Roman" w:hAnsi="Times New Roman" w:cs="Times New Roman"/>
          <w:sz w:val="24"/>
          <w:szCs w:val="24"/>
        </w:rPr>
        <w:t xml:space="preserve"> others in the literature we will use ‘virtual distinction’ to refer to both components indiscriminately in what follows; strictly speaking, only the latter is a virtual distinction. The distinction between the distinction itself and its extramental foundation is not insignificant, though for many practical purposes it can be conveniently elided.</w:t>
      </w:r>
      <w:r>
        <w:rPr>
          <w:rFonts w:ascii="Times New Roman" w:eastAsia="Times New Roman" w:hAnsi="Times New Roman" w:cs="Times New Roman"/>
          <w:sz w:val="24"/>
          <w:szCs w:val="24"/>
          <w:vertAlign w:val="superscript"/>
        </w:rPr>
        <w:footnoteReference w:id="23"/>
      </w:r>
      <w:r>
        <w:rPr>
          <w:rFonts w:ascii="Times New Roman" w:eastAsia="Times New Roman" w:hAnsi="Times New Roman" w:cs="Times New Roman"/>
          <w:sz w:val="24"/>
          <w:szCs w:val="24"/>
        </w:rPr>
        <w:t>)</w:t>
      </w:r>
    </w:p>
    <w:p w14:paraId="00000013" w14:textId="77777777" w:rsidR="008D1538" w:rsidRDefault="00000000">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As John of St. Thomas explains, the virtual distinction is the eminence of a single existing thing whereby it “contains more </w:t>
      </w:r>
      <w:r>
        <w:rPr>
          <w:rFonts w:ascii="Times New Roman" w:eastAsia="Times New Roman" w:hAnsi="Times New Roman" w:cs="Times New Roman"/>
          <w:i/>
          <w:sz w:val="24"/>
          <w:szCs w:val="24"/>
        </w:rPr>
        <w:t xml:space="preserve">rationes </w:t>
      </w:r>
      <w:r>
        <w:rPr>
          <w:rFonts w:ascii="Times New Roman" w:eastAsia="Times New Roman" w:hAnsi="Times New Roman" w:cs="Times New Roman"/>
          <w:sz w:val="24"/>
          <w:szCs w:val="24"/>
        </w:rPr>
        <w:t>or perfections in some being.”</w:t>
      </w:r>
      <w:r>
        <w:rPr>
          <w:rFonts w:ascii="Times New Roman" w:eastAsia="Times New Roman" w:hAnsi="Times New Roman" w:cs="Times New Roman"/>
          <w:sz w:val="24"/>
          <w:szCs w:val="24"/>
          <w:vertAlign w:val="superscript"/>
        </w:rPr>
        <w:footnoteReference w:id="24"/>
      </w:r>
      <w:r>
        <w:rPr>
          <w:rFonts w:ascii="Times New Roman" w:eastAsia="Times New Roman" w:hAnsi="Times New Roman" w:cs="Times New Roman"/>
          <w:sz w:val="24"/>
          <w:szCs w:val="24"/>
        </w:rPr>
        <w:t xml:space="preserve"> As we might put it, the virtual distinction is the simple perfection of a thing, whereby it has a disposition in virtue of which it can naturally give rise to Frege puzzles. He helpfully elaborates, “the reason is because some thing, as much as it is superior and more eminent, unites more perfections than an inferior. Hence, in one entity in a </w:t>
      </w:r>
      <w:proofErr w:type="gramStart"/>
      <w:r>
        <w:rPr>
          <w:rFonts w:ascii="Times New Roman" w:eastAsia="Times New Roman" w:hAnsi="Times New Roman" w:cs="Times New Roman"/>
          <w:sz w:val="24"/>
          <w:szCs w:val="24"/>
        </w:rPr>
        <w:t>more simple</w:t>
      </w:r>
      <w:proofErr w:type="gramEnd"/>
      <w:r>
        <w:rPr>
          <w:rFonts w:ascii="Times New Roman" w:eastAsia="Times New Roman" w:hAnsi="Times New Roman" w:cs="Times New Roman"/>
          <w:sz w:val="24"/>
          <w:szCs w:val="24"/>
        </w:rPr>
        <w:t xml:space="preserve"> way </w:t>
      </w:r>
      <w:r>
        <w:rPr>
          <w:rFonts w:ascii="Times New Roman" w:eastAsia="Times New Roman" w:hAnsi="Times New Roman" w:cs="Times New Roman"/>
          <w:i/>
          <w:sz w:val="24"/>
          <w:szCs w:val="24"/>
        </w:rPr>
        <w:t xml:space="preserve">rationes </w:t>
      </w:r>
      <w:r>
        <w:rPr>
          <w:rFonts w:ascii="Times New Roman" w:eastAsia="Times New Roman" w:hAnsi="Times New Roman" w:cs="Times New Roman"/>
          <w:sz w:val="24"/>
          <w:szCs w:val="24"/>
        </w:rPr>
        <w:t>are found which in inferiors would constitute diverse entities.”</w:t>
      </w:r>
      <w:r>
        <w:rPr>
          <w:rFonts w:ascii="Times New Roman" w:eastAsia="Times New Roman" w:hAnsi="Times New Roman" w:cs="Times New Roman"/>
          <w:sz w:val="24"/>
          <w:szCs w:val="24"/>
          <w:vertAlign w:val="superscript"/>
        </w:rPr>
        <w:footnoteReference w:id="25"/>
      </w:r>
      <w:r>
        <w:rPr>
          <w:rFonts w:ascii="Times New Roman" w:eastAsia="Times New Roman" w:hAnsi="Times New Roman" w:cs="Times New Roman"/>
          <w:sz w:val="24"/>
          <w:szCs w:val="24"/>
        </w:rPr>
        <w:t xml:space="preserve"> An example may help. According to standard scholastic metaphysics, to be a human is to be a rational animal, and a human’s rationality and animality are identical both with one another and with her human nature. Both rationality and animality are “perfections”. One can think of human nature under the guise of rationality–after all, in a human, human nature </w:t>
      </w:r>
      <w:r>
        <w:rPr>
          <w:rFonts w:ascii="Times New Roman" w:eastAsia="Times New Roman" w:hAnsi="Times New Roman" w:cs="Times New Roman"/>
          <w:i/>
          <w:sz w:val="24"/>
          <w:szCs w:val="24"/>
        </w:rPr>
        <w:t xml:space="preserve">is </w:t>
      </w:r>
      <w:r>
        <w:rPr>
          <w:rFonts w:ascii="Times New Roman" w:eastAsia="Times New Roman" w:hAnsi="Times New Roman" w:cs="Times New Roman"/>
          <w:sz w:val="24"/>
          <w:szCs w:val="24"/>
        </w:rPr>
        <w:t xml:space="preserve">rationality; one can also think of human nature under the guise of animality–after all, in a human, human nature </w:t>
      </w:r>
      <w:r>
        <w:rPr>
          <w:rFonts w:ascii="Times New Roman" w:eastAsia="Times New Roman" w:hAnsi="Times New Roman" w:cs="Times New Roman"/>
          <w:i/>
          <w:sz w:val="24"/>
          <w:szCs w:val="24"/>
        </w:rPr>
        <w:t xml:space="preserve">is </w:t>
      </w:r>
      <w:r>
        <w:rPr>
          <w:rFonts w:ascii="Times New Roman" w:eastAsia="Times New Roman" w:hAnsi="Times New Roman" w:cs="Times New Roman"/>
          <w:sz w:val="24"/>
          <w:szCs w:val="24"/>
        </w:rPr>
        <w:t xml:space="preserve">animality. For this reason, one can also come to think that rationality (that is, human nature) and animality (that is, human nature) are </w:t>
      </w:r>
      <w:proofErr w:type="gramStart"/>
      <w:r>
        <w:rPr>
          <w:rFonts w:ascii="Times New Roman" w:eastAsia="Times New Roman" w:hAnsi="Times New Roman" w:cs="Times New Roman"/>
          <w:sz w:val="24"/>
          <w:szCs w:val="24"/>
        </w:rPr>
        <w:t>really distinct</w:t>
      </w:r>
      <w:proofErr w:type="gramEnd"/>
      <w:r>
        <w:rPr>
          <w:rFonts w:ascii="Times New Roman" w:eastAsia="Times New Roman" w:hAnsi="Times New Roman" w:cs="Times New Roman"/>
          <w:sz w:val="24"/>
          <w:szCs w:val="24"/>
        </w:rPr>
        <w:t xml:space="preserve">, though in a human they are not. More than this, as was quoted above these perfections “in inferiors would constitute diverse entities”: if, </w:t>
      </w:r>
      <w:r>
        <w:rPr>
          <w:rFonts w:ascii="Times New Roman" w:eastAsia="Times New Roman" w:hAnsi="Times New Roman" w:cs="Times New Roman"/>
          <w:i/>
          <w:sz w:val="24"/>
          <w:szCs w:val="24"/>
        </w:rPr>
        <w:t xml:space="preserve">per </w:t>
      </w:r>
      <w:proofErr w:type="spellStart"/>
      <w:r>
        <w:rPr>
          <w:rFonts w:ascii="Times New Roman" w:eastAsia="Times New Roman" w:hAnsi="Times New Roman" w:cs="Times New Roman"/>
          <w:i/>
          <w:sz w:val="24"/>
          <w:szCs w:val="24"/>
        </w:rPr>
        <w:t>impossibile</w:t>
      </w:r>
      <w:proofErr w:type="spellEnd"/>
      <w:r>
        <w:rPr>
          <w:rFonts w:ascii="Times New Roman" w:eastAsia="Times New Roman" w:hAnsi="Times New Roman" w:cs="Times New Roman"/>
          <w:sz w:val="24"/>
          <w:szCs w:val="24"/>
        </w:rPr>
        <w:t xml:space="preserve">, rationality </w:t>
      </w:r>
      <w:proofErr w:type="gramStart"/>
      <w:r>
        <w:rPr>
          <w:rFonts w:ascii="Times New Roman" w:eastAsia="Times New Roman" w:hAnsi="Times New Roman" w:cs="Times New Roman"/>
          <w:sz w:val="24"/>
          <w:szCs w:val="24"/>
        </w:rPr>
        <w:t>were</w:t>
      </w:r>
      <w:proofErr w:type="gramEnd"/>
      <w:r>
        <w:rPr>
          <w:rFonts w:ascii="Times New Roman" w:eastAsia="Times New Roman" w:hAnsi="Times New Roman" w:cs="Times New Roman"/>
          <w:sz w:val="24"/>
          <w:szCs w:val="24"/>
        </w:rPr>
        <w:t xml:space="preserve"> violently given to an otherwise irrational creature like a mouse, rationality and animality would, in the mouse, be really distinct. This is what makes it so natural to conceive of these perfections as </w:t>
      </w:r>
      <w:proofErr w:type="gramStart"/>
      <w:r>
        <w:rPr>
          <w:rFonts w:ascii="Times New Roman" w:eastAsia="Times New Roman" w:hAnsi="Times New Roman" w:cs="Times New Roman"/>
          <w:sz w:val="24"/>
          <w:szCs w:val="24"/>
        </w:rPr>
        <w:t>really distinct</w:t>
      </w:r>
      <w:proofErr w:type="gramEnd"/>
      <w:r>
        <w:rPr>
          <w:rFonts w:ascii="Times New Roman" w:eastAsia="Times New Roman" w:hAnsi="Times New Roman" w:cs="Times New Roman"/>
          <w:sz w:val="24"/>
          <w:szCs w:val="24"/>
        </w:rPr>
        <w:t xml:space="preserve">. Nonetheless, these perfections are one in humans–the one simple perfection that is human nature. Similarly, in a mouse, mouse nature is identical both with animality and the (unnamed) mouse difference; when we think of mouse nature, we can think of it under the guise of animality or under the guise of mouse difference. Both a mouse and a human really are animals, and so they both really cause us </w:t>
      </w:r>
      <w:r>
        <w:rPr>
          <w:rFonts w:ascii="Times New Roman" w:eastAsia="Times New Roman" w:hAnsi="Times New Roman" w:cs="Times New Roman"/>
          <w:sz w:val="24"/>
          <w:szCs w:val="24"/>
        </w:rPr>
        <w:lastRenderedPageBreak/>
        <w:t xml:space="preserve">to think of them under the guise of animality; but in a human, animality is identical with rationality, and in a </w:t>
      </w:r>
      <w:proofErr w:type="gramStart"/>
      <w:r>
        <w:rPr>
          <w:rFonts w:ascii="Times New Roman" w:eastAsia="Times New Roman" w:hAnsi="Times New Roman" w:cs="Times New Roman"/>
          <w:sz w:val="24"/>
          <w:szCs w:val="24"/>
        </w:rPr>
        <w:t>mouse</w:t>
      </w:r>
      <w:proofErr w:type="gramEnd"/>
      <w:r>
        <w:rPr>
          <w:rFonts w:ascii="Times New Roman" w:eastAsia="Times New Roman" w:hAnsi="Times New Roman" w:cs="Times New Roman"/>
          <w:sz w:val="24"/>
          <w:szCs w:val="24"/>
        </w:rPr>
        <w:t xml:space="preserve"> it is identical with the (unnamed) mouse difference. In containing several perfections, a human nature is </w:t>
      </w:r>
      <w:proofErr w:type="gramStart"/>
      <w:r>
        <w:rPr>
          <w:rFonts w:ascii="Times New Roman" w:eastAsia="Times New Roman" w:hAnsi="Times New Roman" w:cs="Times New Roman"/>
          <w:sz w:val="24"/>
          <w:szCs w:val="24"/>
        </w:rPr>
        <w:t>really identical</w:t>
      </w:r>
      <w:proofErr w:type="gramEnd"/>
      <w:r>
        <w:rPr>
          <w:rFonts w:ascii="Times New Roman" w:eastAsia="Times New Roman" w:hAnsi="Times New Roman" w:cs="Times New Roman"/>
          <w:sz w:val="24"/>
          <w:szCs w:val="24"/>
        </w:rPr>
        <w:t xml:space="preserve"> with each one; nevertheless, these perfections are </w:t>
      </w:r>
      <w:r>
        <w:rPr>
          <w:rFonts w:ascii="Times New Roman" w:eastAsia="Times New Roman" w:hAnsi="Times New Roman" w:cs="Times New Roman"/>
          <w:i/>
          <w:sz w:val="24"/>
          <w:szCs w:val="24"/>
        </w:rPr>
        <w:t>distinctly conceivable</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Thus</w:t>
      </w:r>
      <w:proofErr w:type="gramEnd"/>
      <w:r>
        <w:rPr>
          <w:rFonts w:ascii="Times New Roman" w:eastAsia="Times New Roman" w:hAnsi="Times New Roman" w:cs="Times New Roman"/>
          <w:sz w:val="24"/>
          <w:szCs w:val="24"/>
        </w:rPr>
        <w:t xml:space="preserve"> human nature, in </w:t>
      </w:r>
      <w:r>
        <w:rPr>
          <w:rFonts w:ascii="Times New Roman" w:eastAsia="Times New Roman" w:hAnsi="Times New Roman" w:cs="Times New Roman"/>
          <w:i/>
          <w:sz w:val="24"/>
          <w:szCs w:val="24"/>
        </w:rPr>
        <w:t>containing</w:t>
      </w:r>
      <w:r>
        <w:rPr>
          <w:rFonts w:ascii="Times New Roman" w:eastAsia="Times New Roman" w:hAnsi="Times New Roman" w:cs="Times New Roman"/>
          <w:sz w:val="24"/>
          <w:szCs w:val="24"/>
        </w:rPr>
        <w:t xml:space="preserve"> these perfections, has a tendency to induce Frege puzzles in human intellects. </w:t>
      </w:r>
    </w:p>
    <w:p w14:paraId="00000014" w14:textId="77777777" w:rsidR="008D1538" w:rsidRDefault="00000000">
      <w:pPr>
        <w:spacing w:after="200" w:line="480" w:lineRule="auto"/>
        <w:rPr>
          <w:rFonts w:ascii="Times New Roman" w:eastAsia="Times New Roman" w:hAnsi="Times New Roman" w:cs="Times New Roman"/>
          <w:b/>
          <w:sz w:val="24"/>
          <w:szCs w:val="24"/>
        </w:rPr>
      </w:pPr>
      <w:proofErr w:type="gramStart"/>
      <w:r>
        <w:rPr>
          <w:rFonts w:ascii="Times New Roman" w:eastAsia="Times New Roman" w:hAnsi="Times New Roman" w:cs="Times New Roman"/>
          <w:sz w:val="24"/>
          <w:szCs w:val="24"/>
        </w:rPr>
        <w:t>Although,</w:t>
      </w:r>
      <w:proofErr w:type="gramEnd"/>
      <w:r>
        <w:rPr>
          <w:rFonts w:ascii="Times New Roman" w:eastAsia="Times New Roman" w:hAnsi="Times New Roman" w:cs="Times New Roman"/>
          <w:sz w:val="24"/>
          <w:szCs w:val="24"/>
        </w:rPr>
        <w:t xml:space="preserve"> then, the virtual distinction and the formal distinction are kinds of middle distinctions, the virtual distinction leans towards the merely conceptual side, whereas the formal distinction leans towards the real distinction side. The Thomists thought they could consistently go without the closer connection between the mind and the world posited by the formal distinction; they furthermore thought that they could use the virtual distinction as a satisfying alternative. In many places where the </w:t>
      </w:r>
      <w:proofErr w:type="spellStart"/>
      <w:r>
        <w:rPr>
          <w:rFonts w:ascii="Times New Roman" w:eastAsia="Times New Roman" w:hAnsi="Times New Roman" w:cs="Times New Roman"/>
          <w:sz w:val="24"/>
          <w:szCs w:val="24"/>
        </w:rPr>
        <w:t>Scotists</w:t>
      </w:r>
      <w:proofErr w:type="spellEnd"/>
      <w:r>
        <w:rPr>
          <w:rFonts w:ascii="Times New Roman" w:eastAsia="Times New Roman" w:hAnsi="Times New Roman" w:cs="Times New Roman"/>
          <w:sz w:val="24"/>
          <w:szCs w:val="24"/>
        </w:rPr>
        <w:t xml:space="preserve"> wanted to posit a formal distinction, the Thomists thought a virtual distinction could do the job.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defend their position, both Scotus and the </w:t>
      </w:r>
      <w:proofErr w:type="spellStart"/>
      <w:r>
        <w:rPr>
          <w:rFonts w:ascii="Times New Roman" w:eastAsia="Times New Roman" w:hAnsi="Times New Roman" w:cs="Times New Roman"/>
          <w:sz w:val="24"/>
          <w:szCs w:val="24"/>
        </w:rPr>
        <w:t>Scotists</w:t>
      </w:r>
      <w:proofErr w:type="spellEnd"/>
      <w:r>
        <w:rPr>
          <w:rFonts w:ascii="Times New Roman" w:eastAsia="Times New Roman" w:hAnsi="Times New Roman" w:cs="Times New Roman"/>
          <w:sz w:val="24"/>
          <w:szCs w:val="24"/>
        </w:rPr>
        <w:t xml:space="preserve"> advanced arguments for the conclusion that the formal distinction was necessary in many areas.</w:t>
      </w:r>
      <w:r>
        <w:rPr>
          <w:rFonts w:ascii="Times New Roman" w:eastAsia="Times New Roman" w:hAnsi="Times New Roman" w:cs="Times New Roman"/>
          <w:sz w:val="24"/>
          <w:szCs w:val="24"/>
          <w:vertAlign w:val="superscript"/>
        </w:rPr>
        <w:footnoteReference w:id="26"/>
      </w:r>
      <w:r>
        <w:rPr>
          <w:rFonts w:ascii="Times New Roman" w:eastAsia="Times New Roman" w:hAnsi="Times New Roman" w:cs="Times New Roman"/>
          <w:sz w:val="24"/>
          <w:szCs w:val="24"/>
        </w:rPr>
        <w:t xml:space="preserve"> But their high ground is the Achilles argument, to which we now turn.</w:t>
      </w:r>
    </w:p>
    <w:p w14:paraId="00000015" w14:textId="77777777" w:rsidR="008D1538" w:rsidRDefault="00000000">
      <w:pPr>
        <w:spacing w:after="200"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From Gilbert to the Achilles</w:t>
      </w:r>
    </w:p>
    <w:p w14:paraId="00000016" w14:textId="77777777" w:rsidR="008D1538" w:rsidRDefault="00000000">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basic </w:t>
      </w:r>
      <w:proofErr w:type="gramStart"/>
      <w:r>
        <w:rPr>
          <w:rFonts w:ascii="Times New Roman" w:eastAsia="Times New Roman" w:hAnsi="Times New Roman" w:cs="Times New Roman"/>
          <w:sz w:val="24"/>
          <w:szCs w:val="24"/>
        </w:rPr>
        <w:t>Christian  theology</w:t>
      </w:r>
      <w:proofErr w:type="gramEnd"/>
      <w:r>
        <w:rPr>
          <w:rFonts w:ascii="Times New Roman" w:eastAsia="Times New Roman" w:hAnsi="Times New Roman" w:cs="Times New Roman"/>
          <w:sz w:val="24"/>
          <w:szCs w:val="24"/>
        </w:rPr>
        <w:t xml:space="preserve">, the Trinity is one God, though also three persons: Father, Son, and Holy Spirit. Each person of the Trinity is identical with the divine essence, but also </w:t>
      </w:r>
      <w:proofErr w:type="gramStart"/>
      <w:r>
        <w:rPr>
          <w:rFonts w:ascii="Times New Roman" w:eastAsia="Times New Roman" w:hAnsi="Times New Roman" w:cs="Times New Roman"/>
          <w:sz w:val="24"/>
          <w:szCs w:val="24"/>
        </w:rPr>
        <w:t>really distinct</w:t>
      </w:r>
      <w:proofErr w:type="gramEnd"/>
      <w:r>
        <w:rPr>
          <w:rFonts w:ascii="Times New Roman" w:eastAsia="Times New Roman" w:hAnsi="Times New Roman" w:cs="Times New Roman"/>
          <w:sz w:val="24"/>
          <w:szCs w:val="24"/>
        </w:rPr>
        <w:t xml:space="preserve"> from the other persons in virtue of their distinct, personal properties (Paternity for the Father, Filiation for the Son, and Spiration for the Holy Spirit).</w:t>
      </w:r>
      <w:r>
        <w:rPr>
          <w:rFonts w:ascii="Times New Roman" w:eastAsia="Times New Roman" w:hAnsi="Times New Roman" w:cs="Times New Roman"/>
          <w:sz w:val="24"/>
          <w:szCs w:val="24"/>
          <w:vertAlign w:val="superscript"/>
        </w:rPr>
        <w:footnoteReference w:id="27"/>
      </w:r>
      <w:r>
        <w:rPr>
          <w:rFonts w:ascii="Times New Roman" w:eastAsia="Times New Roman" w:hAnsi="Times New Roman" w:cs="Times New Roman"/>
          <w:sz w:val="24"/>
          <w:szCs w:val="24"/>
        </w:rPr>
        <w:t xml:space="preserve"> An important part of the common ground for our discussion involves the axiom that the divine essence is identical with </w:t>
      </w:r>
      <w:r>
        <w:rPr>
          <w:rFonts w:ascii="Times New Roman" w:eastAsia="Times New Roman" w:hAnsi="Times New Roman" w:cs="Times New Roman"/>
          <w:sz w:val="24"/>
          <w:szCs w:val="24"/>
        </w:rPr>
        <w:lastRenderedPageBreak/>
        <w:t xml:space="preserve">each of the personal properties. One motivation for this axiom comes from the traditional doctrine of divine simplicity. According to this doctrine, the divine essence is identical with all of God’s attributes, including, therefore, the attributes of Paternity, </w:t>
      </w:r>
      <w:proofErr w:type="spellStart"/>
      <w:r>
        <w:rPr>
          <w:rFonts w:ascii="Times New Roman" w:eastAsia="Times New Roman" w:hAnsi="Times New Roman" w:cs="Times New Roman"/>
          <w:sz w:val="24"/>
          <w:szCs w:val="24"/>
        </w:rPr>
        <w:t>Filliation</w:t>
      </w:r>
      <w:proofErr w:type="spellEnd"/>
      <w:r>
        <w:rPr>
          <w:rFonts w:ascii="Times New Roman" w:eastAsia="Times New Roman" w:hAnsi="Times New Roman" w:cs="Times New Roman"/>
          <w:sz w:val="24"/>
          <w:szCs w:val="24"/>
        </w:rPr>
        <w:t>, and Spiration.</w:t>
      </w:r>
      <w:r>
        <w:rPr>
          <w:rFonts w:ascii="Times New Roman" w:eastAsia="Times New Roman" w:hAnsi="Times New Roman" w:cs="Times New Roman"/>
          <w:sz w:val="24"/>
          <w:szCs w:val="24"/>
          <w:vertAlign w:val="superscript"/>
        </w:rPr>
        <w:footnoteReference w:id="28"/>
      </w:r>
      <w:r>
        <w:rPr>
          <w:rFonts w:ascii="Times New Roman" w:eastAsia="Times New Roman" w:hAnsi="Times New Roman" w:cs="Times New Roman"/>
          <w:sz w:val="24"/>
          <w:szCs w:val="24"/>
        </w:rPr>
        <w:t xml:space="preserve"> </w:t>
      </w:r>
    </w:p>
    <w:p w14:paraId="00000017" w14:textId="77777777" w:rsidR="008D1538" w:rsidRDefault="00000000">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source of the scholastic consensus on this point owes to an ecclesiastical controversy. After the Council of Rheims in 1148, St. Bernard of Clairvaux brought charges of heresy against Bishop Gilbert de la </w:t>
      </w:r>
      <w:proofErr w:type="spellStart"/>
      <w:r>
        <w:rPr>
          <w:rFonts w:ascii="Times New Roman" w:eastAsia="Times New Roman" w:hAnsi="Times New Roman" w:cs="Times New Roman"/>
          <w:sz w:val="24"/>
          <w:szCs w:val="24"/>
        </w:rPr>
        <w:t>Porrée</w:t>
      </w:r>
      <w:proofErr w:type="spellEnd"/>
      <w:r>
        <w:rPr>
          <w:rFonts w:ascii="Times New Roman" w:eastAsia="Times New Roman" w:hAnsi="Times New Roman" w:cs="Times New Roman"/>
          <w:sz w:val="24"/>
          <w:szCs w:val="24"/>
        </w:rPr>
        <w:t>, claiming that the latter taught the real distinction of the divine essence from the personal properties of the Trinity. According to Bernard, such a view should be condemned. Despite Aquinas and others later reporting that Gilbert recanted,</w:t>
      </w:r>
      <w:r>
        <w:rPr>
          <w:rFonts w:ascii="Times New Roman" w:eastAsia="Times New Roman" w:hAnsi="Times New Roman" w:cs="Times New Roman"/>
          <w:sz w:val="24"/>
          <w:szCs w:val="24"/>
          <w:vertAlign w:val="superscript"/>
        </w:rPr>
        <w:footnoteReference w:id="29"/>
      </w:r>
      <w:r>
        <w:rPr>
          <w:rFonts w:ascii="Times New Roman" w:eastAsia="Times New Roman" w:hAnsi="Times New Roman" w:cs="Times New Roman"/>
          <w:sz w:val="24"/>
          <w:szCs w:val="24"/>
        </w:rPr>
        <w:t xml:space="preserve"> Gilbert did not recant; moreover, the view that the divine essence is </w:t>
      </w:r>
      <w:proofErr w:type="gramStart"/>
      <w:r>
        <w:rPr>
          <w:rFonts w:ascii="Times New Roman" w:eastAsia="Times New Roman" w:hAnsi="Times New Roman" w:cs="Times New Roman"/>
          <w:sz w:val="24"/>
          <w:szCs w:val="24"/>
        </w:rPr>
        <w:t>really distinct</w:t>
      </w:r>
      <w:proofErr w:type="gramEnd"/>
      <w:r>
        <w:rPr>
          <w:rFonts w:ascii="Times New Roman" w:eastAsia="Times New Roman" w:hAnsi="Times New Roman" w:cs="Times New Roman"/>
          <w:sz w:val="24"/>
          <w:szCs w:val="24"/>
        </w:rPr>
        <w:t xml:space="preserve"> from the personal properties (or the Trinitarian persons themselves, for that matter) does not seem to have been condemned.</w:t>
      </w:r>
      <w:r>
        <w:rPr>
          <w:rFonts w:ascii="Times New Roman" w:eastAsia="Times New Roman" w:hAnsi="Times New Roman" w:cs="Times New Roman"/>
          <w:sz w:val="24"/>
          <w:szCs w:val="24"/>
          <w:vertAlign w:val="superscript"/>
        </w:rPr>
        <w:footnoteReference w:id="30"/>
      </w:r>
      <w:r>
        <w:rPr>
          <w:rFonts w:ascii="Times New Roman" w:eastAsia="Times New Roman" w:hAnsi="Times New Roman" w:cs="Times New Roman"/>
          <w:sz w:val="24"/>
          <w:szCs w:val="24"/>
        </w:rPr>
        <w:t xml:space="preserve"> In any event, the view attributed to Gilbert was afterwards widely taken to be heretical. </w:t>
      </w:r>
    </w:p>
    <w:p w14:paraId="00000018" w14:textId="77777777" w:rsidR="008D1538" w:rsidRDefault="00000000">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introduction to the </w:t>
      </w:r>
      <w:proofErr w:type="spellStart"/>
      <w:r>
        <w:rPr>
          <w:rFonts w:ascii="Times New Roman" w:eastAsia="Times New Roman" w:hAnsi="Times New Roman" w:cs="Times New Roman"/>
          <w:sz w:val="24"/>
          <w:szCs w:val="24"/>
        </w:rPr>
        <w:t>Scotistic</w:t>
      </w:r>
      <w:proofErr w:type="spellEnd"/>
      <w:r>
        <w:rPr>
          <w:rFonts w:ascii="Times New Roman" w:eastAsia="Times New Roman" w:hAnsi="Times New Roman" w:cs="Times New Roman"/>
          <w:sz w:val="24"/>
          <w:szCs w:val="24"/>
        </w:rPr>
        <w:t xml:space="preserve"> Achilles begins with a problem Aquinas notes in defending this axiom. Given Christian doctrine, the divine essence is shared by the three Persons of the Godhead (i.e., the divine essence is </w:t>
      </w:r>
      <w:r>
        <w:rPr>
          <w:rFonts w:ascii="Times New Roman" w:eastAsia="Times New Roman" w:hAnsi="Times New Roman" w:cs="Times New Roman"/>
          <w:i/>
          <w:sz w:val="24"/>
          <w:szCs w:val="24"/>
        </w:rPr>
        <w:t>communicable</w:t>
      </w:r>
      <w:r>
        <w:rPr>
          <w:rFonts w:ascii="Times New Roman" w:eastAsia="Times New Roman" w:hAnsi="Times New Roman" w:cs="Times New Roman"/>
          <w:sz w:val="24"/>
          <w:szCs w:val="24"/>
        </w:rPr>
        <w:t xml:space="preserve">), but the distinguishing feature of the Father–paternity–is not (i.e., paternity is </w:t>
      </w:r>
      <w:r>
        <w:rPr>
          <w:rFonts w:ascii="Times New Roman" w:eastAsia="Times New Roman" w:hAnsi="Times New Roman" w:cs="Times New Roman"/>
          <w:i/>
          <w:sz w:val="24"/>
          <w:szCs w:val="24"/>
        </w:rPr>
        <w:t>incommunicable</w:t>
      </w:r>
      <w:r>
        <w:rPr>
          <w:rFonts w:ascii="Times New Roman" w:eastAsia="Times New Roman" w:hAnsi="Times New Roman" w:cs="Times New Roman"/>
          <w:sz w:val="24"/>
          <w:szCs w:val="24"/>
        </w:rPr>
        <w:t>). But then we seem to be pushed to the conclusion that the divine essence and paternity are distinct:</w:t>
      </w:r>
      <w:r>
        <w:rPr>
          <w:rFonts w:ascii="Times New Roman" w:eastAsia="Times New Roman" w:hAnsi="Times New Roman" w:cs="Times New Roman"/>
          <w:sz w:val="24"/>
          <w:szCs w:val="24"/>
          <w:vertAlign w:val="superscript"/>
        </w:rPr>
        <w:footnoteReference w:id="31"/>
      </w:r>
      <w:r>
        <w:rPr>
          <w:rFonts w:ascii="Times New Roman" w:eastAsia="Times New Roman" w:hAnsi="Times New Roman" w:cs="Times New Roman"/>
          <w:sz w:val="24"/>
          <w:szCs w:val="24"/>
        </w:rPr>
        <w:t xml:space="preserve">  </w:t>
      </w:r>
    </w:p>
    <w:p w14:paraId="00000019" w14:textId="77777777" w:rsidR="008D1538" w:rsidRDefault="00000000">
      <w:pPr>
        <w:numPr>
          <w:ilvl w:val="0"/>
          <w:numId w:val="5"/>
        </w:numPr>
        <w:spacing w:line="480" w:lineRule="auto"/>
        <w:ind w:left="144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If x is communicable and y is incommunicable, then x and y are distinct.</w:t>
      </w:r>
    </w:p>
    <w:p w14:paraId="0000001A" w14:textId="77777777" w:rsidR="008D1538" w:rsidRDefault="00000000">
      <w:pPr>
        <w:numPr>
          <w:ilvl w:val="0"/>
          <w:numId w:val="5"/>
        </w:numPr>
        <w:spacing w:line="480" w:lineRule="auto"/>
        <w:ind w:left="144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divine essence is </w:t>
      </w:r>
      <w:proofErr w:type="gramStart"/>
      <w:r>
        <w:rPr>
          <w:rFonts w:ascii="Times New Roman" w:eastAsia="Times New Roman" w:hAnsi="Times New Roman" w:cs="Times New Roman"/>
          <w:sz w:val="24"/>
          <w:szCs w:val="24"/>
        </w:rPr>
        <w:t>communicable</w:t>
      </w:r>
      <w:proofErr w:type="gramEnd"/>
      <w:r>
        <w:rPr>
          <w:rFonts w:ascii="Times New Roman" w:eastAsia="Times New Roman" w:hAnsi="Times New Roman" w:cs="Times New Roman"/>
          <w:sz w:val="24"/>
          <w:szCs w:val="24"/>
        </w:rPr>
        <w:t xml:space="preserve"> and paternity is incommunicable.</w:t>
      </w:r>
    </w:p>
    <w:p w14:paraId="0000001B" w14:textId="77777777" w:rsidR="008D1538" w:rsidRDefault="00000000">
      <w:pPr>
        <w:numPr>
          <w:ilvl w:val="0"/>
          <w:numId w:val="5"/>
        </w:numPr>
        <w:spacing w:line="480" w:lineRule="auto"/>
        <w:ind w:left="144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Therefore, the divine essence and paternity are distinct.</w:t>
      </w:r>
    </w:p>
    <w:p w14:paraId="0000001C" w14:textId="77777777" w:rsidR="008D1538" w:rsidRDefault="008D1538">
      <w:pPr>
        <w:spacing w:line="480" w:lineRule="auto"/>
        <w:ind w:left="720" w:right="720"/>
        <w:rPr>
          <w:rFonts w:ascii="Times New Roman" w:eastAsia="Times New Roman" w:hAnsi="Times New Roman" w:cs="Times New Roman"/>
          <w:sz w:val="24"/>
          <w:szCs w:val="24"/>
        </w:rPr>
      </w:pPr>
    </w:p>
    <w:p w14:paraId="0000001D" w14:textId="77777777" w:rsidR="008D1538" w:rsidRDefault="00000000">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conclusion contradicts the axiom mentioned above, according to which paternity and the divine essence are </w:t>
      </w:r>
      <w:r>
        <w:rPr>
          <w:rFonts w:ascii="Times New Roman" w:eastAsia="Times New Roman" w:hAnsi="Times New Roman" w:cs="Times New Roman"/>
          <w:i/>
          <w:sz w:val="24"/>
          <w:szCs w:val="24"/>
        </w:rPr>
        <w:t>identical</w:t>
      </w:r>
      <w:r>
        <w:rPr>
          <w:rFonts w:ascii="Times New Roman" w:eastAsia="Times New Roman" w:hAnsi="Times New Roman" w:cs="Times New Roman"/>
          <w:sz w:val="24"/>
          <w:szCs w:val="24"/>
        </w:rPr>
        <w:t xml:space="preserve">. </w:t>
      </w:r>
    </w:p>
    <w:p w14:paraId="0000001E" w14:textId="77777777" w:rsidR="008D1538" w:rsidRDefault="00000000">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Given Aquinas’s commitments, he must grant that, simplicity notwithstanding, the divine essence and paternity are distinguishable </w:t>
      </w:r>
      <w:r>
        <w:rPr>
          <w:rFonts w:ascii="Times New Roman" w:eastAsia="Times New Roman" w:hAnsi="Times New Roman" w:cs="Times New Roman"/>
          <w:i/>
          <w:sz w:val="24"/>
          <w:szCs w:val="24"/>
        </w:rPr>
        <w:t>in some sense</w:t>
      </w:r>
      <w:r>
        <w:rPr>
          <w:rFonts w:ascii="Times New Roman" w:eastAsia="Times New Roman" w:hAnsi="Times New Roman" w:cs="Times New Roman"/>
          <w:sz w:val="24"/>
          <w:szCs w:val="24"/>
        </w:rPr>
        <w:t xml:space="preserve">. But how can he square this with his commitment to simplicity, and </w:t>
      </w:r>
      <w:proofErr w:type="gramStart"/>
      <w:r>
        <w:rPr>
          <w:rFonts w:ascii="Times New Roman" w:eastAsia="Times New Roman" w:hAnsi="Times New Roman" w:cs="Times New Roman"/>
          <w:sz w:val="24"/>
          <w:szCs w:val="24"/>
        </w:rPr>
        <w:t>in particular to</w:t>
      </w:r>
      <w:proofErr w:type="gramEnd"/>
      <w:r>
        <w:rPr>
          <w:rFonts w:ascii="Times New Roman" w:eastAsia="Times New Roman" w:hAnsi="Times New Roman" w:cs="Times New Roman"/>
          <w:sz w:val="24"/>
          <w:szCs w:val="24"/>
        </w:rPr>
        <w:t xml:space="preserve"> the claim that paternity </w:t>
      </w:r>
      <w:r>
        <w:rPr>
          <w:rFonts w:ascii="Times New Roman" w:eastAsia="Times New Roman" w:hAnsi="Times New Roman" w:cs="Times New Roman"/>
          <w:i/>
          <w:sz w:val="24"/>
          <w:szCs w:val="24"/>
        </w:rPr>
        <w:t xml:space="preserve">is </w:t>
      </w:r>
      <w:r>
        <w:rPr>
          <w:rFonts w:ascii="Times New Roman" w:eastAsia="Times New Roman" w:hAnsi="Times New Roman" w:cs="Times New Roman"/>
          <w:sz w:val="24"/>
          <w:szCs w:val="24"/>
        </w:rPr>
        <w:t xml:space="preserve">the divine essence? Aquinas’s response exploits the idea that identical things can be distinguished, as it were, according to different </w:t>
      </w:r>
      <w:r>
        <w:rPr>
          <w:rFonts w:ascii="Times New Roman" w:eastAsia="Times New Roman" w:hAnsi="Times New Roman" w:cs="Times New Roman"/>
          <w:i/>
          <w:sz w:val="24"/>
          <w:szCs w:val="24"/>
        </w:rPr>
        <w:t>perspectives</w:t>
      </w:r>
      <w:r>
        <w:rPr>
          <w:rFonts w:ascii="Times New Roman" w:eastAsia="Times New Roman" w:hAnsi="Times New Roman" w:cs="Times New Roman"/>
          <w:sz w:val="24"/>
          <w:szCs w:val="24"/>
        </w:rPr>
        <w:t>–paradigmatically, this is what happens in Frege puzzles. In effect, Aquinas is invoking a conceptual distinction:</w:t>
      </w:r>
    </w:p>
    <w:p w14:paraId="0000001F" w14:textId="77777777" w:rsidR="008D1538"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As the Philosopher says, nothing prevents contradictories being predicated of that which is the same thing, differing only by reason [</w:t>
      </w:r>
      <w:r>
        <w:rPr>
          <w:rFonts w:ascii="Times New Roman" w:eastAsia="Times New Roman" w:hAnsi="Times New Roman" w:cs="Times New Roman"/>
          <w:i/>
          <w:sz w:val="24"/>
          <w:szCs w:val="24"/>
        </w:rPr>
        <w:t>ratione</w:t>
      </w:r>
      <w:r>
        <w:rPr>
          <w:rFonts w:ascii="Times New Roman" w:eastAsia="Times New Roman" w:hAnsi="Times New Roman" w:cs="Times New Roman"/>
          <w:sz w:val="24"/>
          <w:szCs w:val="24"/>
        </w:rPr>
        <w:t xml:space="preserve">]; just as </w:t>
      </w:r>
      <w:proofErr w:type="gramStart"/>
      <w:r>
        <w:rPr>
          <w:rFonts w:ascii="Times New Roman" w:eastAsia="Times New Roman" w:hAnsi="Times New Roman" w:cs="Times New Roman"/>
          <w:sz w:val="24"/>
          <w:szCs w:val="24"/>
        </w:rPr>
        <w:t>it is clear that the</w:t>
      </w:r>
      <w:proofErr w:type="gramEnd"/>
      <w:r>
        <w:rPr>
          <w:rFonts w:ascii="Times New Roman" w:eastAsia="Times New Roman" w:hAnsi="Times New Roman" w:cs="Times New Roman"/>
          <w:sz w:val="24"/>
          <w:szCs w:val="24"/>
        </w:rPr>
        <w:t xml:space="preserve"> same point in reality, differing by reason [</w:t>
      </w:r>
      <w:r>
        <w:rPr>
          <w:rFonts w:ascii="Times New Roman" w:eastAsia="Times New Roman" w:hAnsi="Times New Roman" w:cs="Times New Roman"/>
          <w:i/>
          <w:sz w:val="24"/>
          <w:szCs w:val="24"/>
        </w:rPr>
        <w:t>ratione</w:t>
      </w:r>
      <w:r>
        <w:rPr>
          <w:rFonts w:ascii="Times New Roman" w:eastAsia="Times New Roman" w:hAnsi="Times New Roman" w:cs="Times New Roman"/>
          <w:sz w:val="24"/>
          <w:szCs w:val="24"/>
        </w:rPr>
        <w:t xml:space="preserve">], is the beginning and end [of a line]; and according to which it is the beginning, it is not the end, and conversely.  Hence, since the essence and properties are the same thing </w:t>
      </w:r>
      <w:proofErr w:type="gramStart"/>
      <w:r>
        <w:rPr>
          <w:rFonts w:ascii="Times New Roman" w:eastAsia="Times New Roman" w:hAnsi="Times New Roman" w:cs="Times New Roman"/>
          <w:sz w:val="24"/>
          <w:szCs w:val="24"/>
        </w:rPr>
        <w:t>in reality and</w:t>
      </w:r>
      <w:proofErr w:type="gramEnd"/>
      <w:r>
        <w:rPr>
          <w:rFonts w:ascii="Times New Roman" w:eastAsia="Times New Roman" w:hAnsi="Times New Roman" w:cs="Times New Roman"/>
          <w:sz w:val="24"/>
          <w:szCs w:val="24"/>
        </w:rPr>
        <w:t xml:space="preserve"> differ by reason [</w:t>
      </w:r>
      <w:r>
        <w:rPr>
          <w:rFonts w:ascii="Times New Roman" w:eastAsia="Times New Roman" w:hAnsi="Times New Roman" w:cs="Times New Roman"/>
          <w:i/>
          <w:sz w:val="24"/>
          <w:szCs w:val="24"/>
        </w:rPr>
        <w:t>ratione</w:t>
      </w:r>
      <w:r>
        <w:rPr>
          <w:rFonts w:ascii="Times New Roman" w:eastAsia="Times New Roman" w:hAnsi="Times New Roman" w:cs="Times New Roman"/>
          <w:sz w:val="24"/>
          <w:szCs w:val="24"/>
        </w:rPr>
        <w:t>], nothing prohibits it being the case that one is communicable and the other incommunicable.</w:t>
      </w:r>
      <w:r>
        <w:rPr>
          <w:rFonts w:ascii="Times New Roman" w:eastAsia="Times New Roman" w:hAnsi="Times New Roman" w:cs="Times New Roman"/>
          <w:sz w:val="24"/>
          <w:szCs w:val="24"/>
          <w:vertAlign w:val="superscript"/>
        </w:rPr>
        <w:footnoteReference w:id="32"/>
      </w:r>
    </w:p>
    <w:p w14:paraId="00000020" w14:textId="77777777" w:rsidR="008D1538" w:rsidRDefault="008D1538">
      <w:pPr>
        <w:spacing w:line="480" w:lineRule="auto"/>
        <w:ind w:left="720"/>
        <w:rPr>
          <w:rFonts w:ascii="Times New Roman" w:eastAsia="Times New Roman" w:hAnsi="Times New Roman" w:cs="Times New Roman"/>
          <w:sz w:val="24"/>
          <w:szCs w:val="24"/>
        </w:rPr>
      </w:pPr>
    </w:p>
    <w:p w14:paraId="00000021" w14:textId="77777777" w:rsidR="008D1538" w:rsidRDefault="00000000">
      <w:pPr>
        <w:spacing w:before="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is </w:t>
      </w:r>
      <w:proofErr w:type="gramStart"/>
      <w:r>
        <w:rPr>
          <w:rFonts w:ascii="Times New Roman" w:eastAsia="Times New Roman" w:hAnsi="Times New Roman" w:cs="Times New Roman"/>
          <w:sz w:val="24"/>
          <w:szCs w:val="24"/>
        </w:rPr>
        <w:t>in reality identical</w:t>
      </w:r>
      <w:proofErr w:type="gramEnd"/>
      <w:r>
        <w:rPr>
          <w:rFonts w:ascii="Times New Roman" w:eastAsia="Times New Roman" w:hAnsi="Times New Roman" w:cs="Times New Roman"/>
          <w:sz w:val="24"/>
          <w:szCs w:val="24"/>
        </w:rPr>
        <w:t xml:space="preserve"> can be distinguished </w:t>
      </w:r>
      <w:r>
        <w:rPr>
          <w:rFonts w:ascii="Times New Roman" w:eastAsia="Times New Roman" w:hAnsi="Times New Roman" w:cs="Times New Roman"/>
          <w:i/>
          <w:sz w:val="24"/>
          <w:szCs w:val="24"/>
        </w:rPr>
        <w:t>by reason</w:t>
      </w:r>
      <w:r>
        <w:rPr>
          <w:rFonts w:ascii="Times New Roman" w:eastAsia="Times New Roman" w:hAnsi="Times New Roman" w:cs="Times New Roman"/>
          <w:sz w:val="24"/>
          <w:szCs w:val="24"/>
        </w:rPr>
        <w:t xml:space="preserve">, witnessed by the intellect. So, on our reconstruction, Aquinas denies the first premise of the argument above: though the divine essence is </w:t>
      </w:r>
      <w:proofErr w:type="gramStart"/>
      <w:r>
        <w:rPr>
          <w:rFonts w:ascii="Times New Roman" w:eastAsia="Times New Roman" w:hAnsi="Times New Roman" w:cs="Times New Roman"/>
          <w:sz w:val="24"/>
          <w:szCs w:val="24"/>
        </w:rPr>
        <w:t>communicable</w:t>
      </w:r>
      <w:proofErr w:type="gramEnd"/>
      <w:r>
        <w:rPr>
          <w:rFonts w:ascii="Times New Roman" w:eastAsia="Times New Roman" w:hAnsi="Times New Roman" w:cs="Times New Roman"/>
          <w:sz w:val="24"/>
          <w:szCs w:val="24"/>
        </w:rPr>
        <w:t xml:space="preserve"> and paternity is not, paternity and the divine essence are </w:t>
      </w:r>
      <w:r>
        <w:rPr>
          <w:rFonts w:ascii="Times New Roman" w:eastAsia="Times New Roman" w:hAnsi="Times New Roman" w:cs="Times New Roman"/>
          <w:i/>
          <w:sz w:val="24"/>
          <w:szCs w:val="24"/>
        </w:rPr>
        <w:t xml:space="preserve">not </w:t>
      </w:r>
      <w:r>
        <w:rPr>
          <w:rFonts w:ascii="Times New Roman" w:eastAsia="Times New Roman" w:hAnsi="Times New Roman" w:cs="Times New Roman"/>
          <w:sz w:val="24"/>
          <w:szCs w:val="24"/>
        </w:rPr>
        <w:t>distinct.</w:t>
      </w:r>
    </w:p>
    <w:p w14:paraId="00000022" w14:textId="77777777" w:rsidR="008D1538" w:rsidRDefault="00000000">
      <w:pPr>
        <w:spacing w:before="200"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St. Thomas and later Thomists will grant that identical things can be distinguished by reason; so far, so good. Here’s the trouble: they add that identical things can be distinguished </w:t>
      </w:r>
      <w:r>
        <w:rPr>
          <w:rFonts w:ascii="Times New Roman" w:eastAsia="Times New Roman" w:hAnsi="Times New Roman" w:cs="Times New Roman"/>
          <w:i/>
          <w:sz w:val="24"/>
          <w:szCs w:val="24"/>
        </w:rPr>
        <w:t>only by reason</w:t>
      </w:r>
      <w:r>
        <w:rPr>
          <w:rFonts w:ascii="Times New Roman" w:eastAsia="Times New Roman" w:hAnsi="Times New Roman" w:cs="Times New Roman"/>
          <w:sz w:val="24"/>
          <w:szCs w:val="24"/>
        </w:rPr>
        <w:t xml:space="preserve">. That is, what’s identical can be distinguished, but cannot be </w:t>
      </w:r>
      <w:proofErr w:type="gramStart"/>
      <w:r>
        <w:rPr>
          <w:rFonts w:ascii="Times New Roman" w:eastAsia="Times New Roman" w:hAnsi="Times New Roman" w:cs="Times New Roman"/>
          <w:sz w:val="24"/>
          <w:szCs w:val="24"/>
        </w:rPr>
        <w:t xml:space="preserve">distinguished </w:t>
      </w:r>
      <w:r>
        <w:rPr>
          <w:rFonts w:ascii="Times New Roman" w:eastAsia="Times New Roman" w:hAnsi="Times New Roman" w:cs="Times New Roman"/>
          <w:i/>
          <w:sz w:val="24"/>
          <w:szCs w:val="24"/>
        </w:rPr>
        <w:t>in reality</w:t>
      </w:r>
      <w:proofErr w:type="gramEnd"/>
      <w:r>
        <w:rPr>
          <w:rFonts w:ascii="Times New Roman" w:eastAsia="Times New Roman" w:hAnsi="Times New Roman" w:cs="Times New Roman"/>
          <w:sz w:val="24"/>
          <w:szCs w:val="24"/>
        </w:rPr>
        <w:t xml:space="preserve">. Scotus, however, sees an opportunity here to present a powerful argument for the formal distinction; he thinks there must be a distinction </w:t>
      </w:r>
      <w:r>
        <w:rPr>
          <w:rFonts w:ascii="Times New Roman" w:eastAsia="Times New Roman" w:hAnsi="Times New Roman" w:cs="Times New Roman"/>
          <w:i/>
          <w:sz w:val="24"/>
          <w:szCs w:val="24"/>
        </w:rPr>
        <w:t>ex natura rei</w:t>
      </w:r>
      <w:r>
        <w:rPr>
          <w:rFonts w:ascii="Times New Roman" w:eastAsia="Times New Roman" w:hAnsi="Times New Roman" w:cs="Times New Roman"/>
          <w:sz w:val="24"/>
          <w:szCs w:val="24"/>
        </w:rPr>
        <w:t xml:space="preserve"> between personal properties and the divine essence, even though they are identical. Scotus modifies the above argument to motivate this.</w:t>
      </w:r>
    </w:p>
    <w:p w14:paraId="00000023" w14:textId="77777777" w:rsidR="008D1538" w:rsidRDefault="00000000">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we can say more than that the divine essence is communicable, and paternity is not. We can say that the divine essence is </w:t>
      </w:r>
      <w:proofErr w:type="gramStart"/>
      <w:r>
        <w:rPr>
          <w:rFonts w:ascii="Times New Roman" w:eastAsia="Times New Roman" w:hAnsi="Times New Roman" w:cs="Times New Roman"/>
          <w:sz w:val="24"/>
          <w:szCs w:val="24"/>
        </w:rPr>
        <w:t>communicable</w:t>
      </w:r>
      <w:proofErr w:type="gramEnd"/>
      <w:r>
        <w:rPr>
          <w:rFonts w:ascii="Times New Roman" w:eastAsia="Times New Roman" w:hAnsi="Times New Roman" w:cs="Times New Roman"/>
          <w:sz w:val="24"/>
          <w:szCs w:val="24"/>
        </w:rPr>
        <w:t xml:space="preserve"> and paternity is incommunicable </w:t>
      </w:r>
      <w:r>
        <w:rPr>
          <w:rFonts w:ascii="Times New Roman" w:eastAsia="Times New Roman" w:hAnsi="Times New Roman" w:cs="Times New Roman"/>
          <w:i/>
          <w:sz w:val="24"/>
          <w:szCs w:val="24"/>
        </w:rPr>
        <w:t>prior to any act of the intellect</w:t>
      </w:r>
      <w:r>
        <w:rPr>
          <w:rFonts w:ascii="Times New Roman" w:eastAsia="Times New Roman" w:hAnsi="Times New Roman" w:cs="Times New Roman"/>
          <w:sz w:val="24"/>
          <w:szCs w:val="24"/>
        </w:rPr>
        <w:t>. We must say this, in fact, to avoid something like Sabellianism, and to preserve the robust mind-independence of Trinitarian distinctions.</w:t>
      </w:r>
      <w:r>
        <w:rPr>
          <w:rFonts w:ascii="Times New Roman" w:eastAsia="Times New Roman" w:hAnsi="Times New Roman" w:cs="Times New Roman"/>
          <w:sz w:val="24"/>
          <w:szCs w:val="24"/>
          <w:vertAlign w:val="superscript"/>
        </w:rPr>
        <w:footnoteReference w:id="33"/>
      </w:r>
      <w:r>
        <w:rPr>
          <w:rFonts w:ascii="Times New Roman" w:eastAsia="Times New Roman" w:hAnsi="Times New Roman" w:cs="Times New Roman"/>
          <w:sz w:val="24"/>
          <w:szCs w:val="24"/>
        </w:rPr>
        <w:t xml:space="preserve"> And if x and y are distinguishable prior to any act of the intellect, then x and y are </w:t>
      </w:r>
      <w:r>
        <w:rPr>
          <w:rFonts w:ascii="Times New Roman" w:eastAsia="Times New Roman" w:hAnsi="Times New Roman" w:cs="Times New Roman"/>
          <w:i/>
          <w:sz w:val="24"/>
          <w:szCs w:val="24"/>
        </w:rPr>
        <w:t xml:space="preserve">distinct </w:t>
      </w:r>
      <w:r>
        <w:rPr>
          <w:rFonts w:ascii="Times New Roman" w:eastAsia="Times New Roman" w:hAnsi="Times New Roman" w:cs="Times New Roman"/>
          <w:sz w:val="24"/>
          <w:szCs w:val="24"/>
        </w:rPr>
        <w:t xml:space="preserve">prior to any act of the intellect; thus, if, prior to any act of the intellect, x is communicable and y is not, then x and y are distinct prior to any act of the intellect. Together, we get a version of the argument known by both critics and champions as the </w:t>
      </w:r>
      <w:proofErr w:type="spellStart"/>
      <w:r>
        <w:rPr>
          <w:rFonts w:ascii="Times New Roman" w:eastAsia="Times New Roman" w:hAnsi="Times New Roman" w:cs="Times New Roman"/>
          <w:i/>
          <w:sz w:val="24"/>
          <w:szCs w:val="24"/>
        </w:rPr>
        <w:t>Scotistic</w:t>
      </w:r>
      <w:proofErr w:type="spellEnd"/>
      <w:r>
        <w:rPr>
          <w:rFonts w:ascii="Times New Roman" w:eastAsia="Times New Roman" w:hAnsi="Times New Roman" w:cs="Times New Roman"/>
          <w:i/>
          <w:sz w:val="24"/>
          <w:szCs w:val="24"/>
        </w:rPr>
        <w:t xml:space="preserve"> Achilles.</w:t>
      </w:r>
      <w:r>
        <w:rPr>
          <w:rFonts w:ascii="Times New Roman" w:eastAsia="Times New Roman" w:hAnsi="Times New Roman" w:cs="Times New Roman"/>
          <w:i/>
          <w:sz w:val="24"/>
          <w:szCs w:val="24"/>
          <w:vertAlign w:val="superscript"/>
        </w:rPr>
        <w:footnoteReference w:id="34"/>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The argument is the following:</w:t>
      </w:r>
      <w:r>
        <w:rPr>
          <w:rFonts w:ascii="Times New Roman" w:eastAsia="Times New Roman" w:hAnsi="Times New Roman" w:cs="Times New Roman"/>
          <w:sz w:val="24"/>
          <w:szCs w:val="24"/>
          <w:vertAlign w:val="superscript"/>
        </w:rPr>
        <w:footnoteReference w:id="35"/>
      </w:r>
    </w:p>
    <w:p w14:paraId="00000024" w14:textId="77777777" w:rsidR="008D1538" w:rsidRDefault="00000000">
      <w:pPr>
        <w:numPr>
          <w:ilvl w:val="0"/>
          <w:numId w:val="10"/>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If, </w:t>
      </w:r>
      <w:r>
        <w:rPr>
          <w:rFonts w:ascii="Times New Roman" w:eastAsia="Times New Roman" w:hAnsi="Times New Roman" w:cs="Times New Roman"/>
          <w:i/>
          <w:sz w:val="24"/>
          <w:szCs w:val="24"/>
        </w:rPr>
        <w:t>prior to any act of the intellect</w:t>
      </w:r>
      <w:r>
        <w:rPr>
          <w:rFonts w:ascii="Times New Roman" w:eastAsia="Times New Roman" w:hAnsi="Times New Roman" w:cs="Times New Roman"/>
          <w:sz w:val="24"/>
          <w:szCs w:val="24"/>
        </w:rPr>
        <w:t xml:space="preserve">, x is communicable and y is incommunicable, then x and y are distinct </w:t>
      </w:r>
      <w:r>
        <w:rPr>
          <w:rFonts w:ascii="Times New Roman" w:eastAsia="Times New Roman" w:hAnsi="Times New Roman" w:cs="Times New Roman"/>
          <w:i/>
          <w:sz w:val="24"/>
          <w:szCs w:val="24"/>
        </w:rPr>
        <w:t>prior to any act of the intellect</w:t>
      </w:r>
      <w:r>
        <w:rPr>
          <w:rFonts w:ascii="Times New Roman" w:eastAsia="Times New Roman" w:hAnsi="Times New Roman" w:cs="Times New Roman"/>
          <w:sz w:val="24"/>
          <w:szCs w:val="24"/>
        </w:rPr>
        <w:t>.</w:t>
      </w:r>
    </w:p>
    <w:p w14:paraId="00000025" w14:textId="77777777" w:rsidR="008D1538" w:rsidRDefault="00000000">
      <w:pPr>
        <w:numPr>
          <w:ilvl w:val="0"/>
          <w:numId w:val="10"/>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Prior to any act of the intellect</w:t>
      </w:r>
      <w:r>
        <w:rPr>
          <w:rFonts w:ascii="Times New Roman" w:eastAsia="Times New Roman" w:hAnsi="Times New Roman" w:cs="Times New Roman"/>
          <w:sz w:val="24"/>
          <w:szCs w:val="24"/>
        </w:rPr>
        <w:t xml:space="preserve">, the divine essence is </w:t>
      </w:r>
      <w:proofErr w:type="gramStart"/>
      <w:r>
        <w:rPr>
          <w:rFonts w:ascii="Times New Roman" w:eastAsia="Times New Roman" w:hAnsi="Times New Roman" w:cs="Times New Roman"/>
          <w:sz w:val="24"/>
          <w:szCs w:val="24"/>
        </w:rPr>
        <w:t>communicable</w:t>
      </w:r>
      <w:proofErr w:type="gramEnd"/>
      <w:r>
        <w:rPr>
          <w:rFonts w:ascii="Times New Roman" w:eastAsia="Times New Roman" w:hAnsi="Times New Roman" w:cs="Times New Roman"/>
          <w:sz w:val="24"/>
          <w:szCs w:val="24"/>
        </w:rPr>
        <w:t xml:space="preserve"> and paternity is incommunicable.</w:t>
      </w:r>
    </w:p>
    <w:p w14:paraId="00000026" w14:textId="77777777" w:rsidR="008D1538" w:rsidRDefault="00000000">
      <w:pPr>
        <w:numPr>
          <w:ilvl w:val="0"/>
          <w:numId w:val="10"/>
        </w:num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 the divine essence and paternity are distinct</w:t>
      </w:r>
      <w:r>
        <w:rPr>
          <w:rFonts w:ascii="Times New Roman" w:eastAsia="Times New Roman" w:hAnsi="Times New Roman" w:cs="Times New Roman"/>
          <w:i/>
          <w:sz w:val="24"/>
          <w:szCs w:val="24"/>
        </w:rPr>
        <w:t xml:space="preserve"> prior to any act of the intellect</w:t>
      </w:r>
      <w:r>
        <w:rPr>
          <w:rFonts w:ascii="Times New Roman" w:eastAsia="Times New Roman" w:hAnsi="Times New Roman" w:cs="Times New Roman"/>
          <w:sz w:val="24"/>
          <w:szCs w:val="24"/>
        </w:rPr>
        <w:t>.</w:t>
      </w:r>
    </w:p>
    <w:p w14:paraId="00000027" w14:textId="77777777" w:rsidR="008D1538" w:rsidRDefault="00000000">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Given the identity of paternity and the divine essence, what we have here is an argument for the formal distinction: some things are identical, though also distinct prior to any act of the intellect. Having established this, by Scotus’s lights (and those of his followers), he is now licensed to add the formal distinction to his toolbox and employ it as he sees fit. Those unwilling to join the </w:t>
      </w:r>
      <w:proofErr w:type="spellStart"/>
      <w:r>
        <w:rPr>
          <w:rFonts w:ascii="Times New Roman" w:eastAsia="Times New Roman" w:hAnsi="Times New Roman" w:cs="Times New Roman"/>
          <w:sz w:val="24"/>
          <w:szCs w:val="24"/>
        </w:rPr>
        <w:t>Scotists</w:t>
      </w:r>
      <w:proofErr w:type="spellEnd"/>
      <w:r>
        <w:rPr>
          <w:rFonts w:ascii="Times New Roman" w:eastAsia="Times New Roman" w:hAnsi="Times New Roman" w:cs="Times New Roman"/>
          <w:sz w:val="24"/>
          <w:szCs w:val="24"/>
        </w:rPr>
        <w:t xml:space="preserve"> in accepting the formal distinction have a lot of work on their hands.</w:t>
      </w:r>
    </w:p>
    <w:p w14:paraId="00000028" w14:textId="77777777" w:rsidR="008D1538" w:rsidRDefault="00000000">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we said in the previous section, where </w:t>
      </w:r>
      <w:proofErr w:type="spellStart"/>
      <w:r>
        <w:rPr>
          <w:rFonts w:ascii="Times New Roman" w:eastAsia="Times New Roman" w:hAnsi="Times New Roman" w:cs="Times New Roman"/>
          <w:sz w:val="24"/>
          <w:szCs w:val="24"/>
        </w:rPr>
        <w:t>Scotists</w:t>
      </w:r>
      <w:proofErr w:type="spellEnd"/>
      <w:r>
        <w:rPr>
          <w:rFonts w:ascii="Times New Roman" w:eastAsia="Times New Roman" w:hAnsi="Times New Roman" w:cs="Times New Roman"/>
          <w:sz w:val="24"/>
          <w:szCs w:val="24"/>
        </w:rPr>
        <w:t xml:space="preserve"> see a need to employ the formal distinction, the Thomists frequently employ the virtual distinction. It should come as no surprise that they do the same in responding to the Achilles. However, it is far from evident exactly </w:t>
      </w:r>
      <w:r>
        <w:rPr>
          <w:rFonts w:ascii="Times New Roman" w:eastAsia="Times New Roman" w:hAnsi="Times New Roman" w:cs="Times New Roman"/>
          <w:i/>
          <w:sz w:val="24"/>
          <w:szCs w:val="24"/>
        </w:rPr>
        <w:t xml:space="preserve">how </w:t>
      </w:r>
      <w:r>
        <w:rPr>
          <w:rFonts w:ascii="Times New Roman" w:eastAsia="Times New Roman" w:hAnsi="Times New Roman" w:cs="Times New Roman"/>
          <w:sz w:val="24"/>
          <w:szCs w:val="24"/>
        </w:rPr>
        <w:t xml:space="preserve">this machinery can be used to respond to the Achilles. After all, the virtual distinction is a conceptual distinction; by design, the premises of the Achilles concern what’s true </w:t>
      </w:r>
      <w:r>
        <w:rPr>
          <w:rFonts w:ascii="Times New Roman" w:eastAsia="Times New Roman" w:hAnsi="Times New Roman" w:cs="Times New Roman"/>
          <w:i/>
          <w:sz w:val="24"/>
          <w:szCs w:val="24"/>
        </w:rPr>
        <w:t>prior to any act of the intellect</w:t>
      </w:r>
      <w:r>
        <w:rPr>
          <w:rFonts w:ascii="Times New Roman" w:eastAsia="Times New Roman" w:hAnsi="Times New Roman" w:cs="Times New Roman"/>
          <w:sz w:val="24"/>
          <w:szCs w:val="24"/>
        </w:rPr>
        <w:t xml:space="preserve"> precisely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prevent anything psychological–such as a conceptual distinction–from making a difference. </w:t>
      </w:r>
    </w:p>
    <w:p w14:paraId="00000029" w14:textId="77777777" w:rsidR="008D1538" w:rsidRDefault="00000000">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we will see, the Achilles pushes the application of the virtual distinction to its </w:t>
      </w:r>
      <w:proofErr w:type="gramStart"/>
      <w:r>
        <w:rPr>
          <w:rFonts w:ascii="Times New Roman" w:eastAsia="Times New Roman" w:hAnsi="Times New Roman" w:cs="Times New Roman"/>
          <w:sz w:val="24"/>
          <w:szCs w:val="24"/>
        </w:rPr>
        <w:t>limits;</w:t>
      </w:r>
      <w:proofErr w:type="gramEnd"/>
      <w:r>
        <w:rPr>
          <w:rFonts w:ascii="Times New Roman" w:eastAsia="Times New Roman" w:hAnsi="Times New Roman" w:cs="Times New Roman"/>
          <w:sz w:val="24"/>
          <w:szCs w:val="24"/>
        </w:rPr>
        <w:t xml:space="preserve"> as a result different Thomists developed distinct and often incompatible ways of employing it in response. Responses to the Achilles can be grouped into four categories–all employing the virtual distinction in various ways. The first strategy denies the second premise of the Achilles; </w:t>
      </w:r>
      <w:r>
        <w:rPr>
          <w:rFonts w:ascii="Times New Roman" w:eastAsia="Times New Roman" w:hAnsi="Times New Roman" w:cs="Times New Roman"/>
          <w:sz w:val="24"/>
          <w:szCs w:val="24"/>
        </w:rPr>
        <w:lastRenderedPageBreak/>
        <w:t xml:space="preserve">the other three deny the first. The second purports to deny the first premise by appealing to </w:t>
      </w:r>
      <w:r>
        <w:rPr>
          <w:rFonts w:ascii="Times New Roman" w:eastAsia="Times New Roman" w:hAnsi="Times New Roman" w:cs="Times New Roman"/>
          <w:i/>
          <w:sz w:val="24"/>
          <w:szCs w:val="24"/>
        </w:rPr>
        <w:t>reduplication</w:t>
      </w:r>
      <w:r>
        <w:rPr>
          <w:rFonts w:ascii="Times New Roman" w:eastAsia="Times New Roman" w:hAnsi="Times New Roman" w:cs="Times New Roman"/>
          <w:sz w:val="24"/>
          <w:szCs w:val="24"/>
        </w:rPr>
        <w:t>. The third rejects the first premise by accepting true contradictions.  And the fourth rejects the first premise, coupled with an appeal to mystery. We’ll discuss these options and their advocates one by one.</w:t>
      </w:r>
    </w:p>
    <w:p w14:paraId="0000002A" w14:textId="77777777" w:rsidR="008D1538" w:rsidRDefault="00000000">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moving on, it is worth acknowledging that the </w:t>
      </w:r>
      <w:proofErr w:type="spellStart"/>
      <w:r>
        <w:rPr>
          <w:rFonts w:ascii="Times New Roman" w:eastAsia="Times New Roman" w:hAnsi="Times New Roman" w:cs="Times New Roman"/>
          <w:sz w:val="24"/>
          <w:szCs w:val="24"/>
        </w:rPr>
        <w:t>Scotist’s</w:t>
      </w:r>
      <w:proofErr w:type="spellEnd"/>
      <w:r>
        <w:rPr>
          <w:rFonts w:ascii="Times New Roman" w:eastAsia="Times New Roman" w:hAnsi="Times New Roman" w:cs="Times New Roman"/>
          <w:sz w:val="24"/>
          <w:szCs w:val="24"/>
        </w:rPr>
        <w:t xml:space="preserve"> grounds motivating the Achilles argument, and the opposition’s motivation to respond, are theological in nature; for all that, it is critical to remark that the historical debate over the Achilles is nonetheless a </w:t>
      </w:r>
      <w:r>
        <w:rPr>
          <w:rFonts w:ascii="Times New Roman" w:eastAsia="Times New Roman" w:hAnsi="Times New Roman" w:cs="Times New Roman"/>
          <w:i/>
          <w:sz w:val="24"/>
          <w:szCs w:val="24"/>
        </w:rPr>
        <w:t xml:space="preserve">philosophical </w:t>
      </w:r>
      <w:r>
        <w:rPr>
          <w:rFonts w:ascii="Times New Roman" w:eastAsia="Times New Roman" w:hAnsi="Times New Roman" w:cs="Times New Roman"/>
          <w:sz w:val="24"/>
          <w:szCs w:val="24"/>
        </w:rPr>
        <w:t xml:space="preserve">debate. For the scholastics, theological dogma frequently needed to be distinguished from philosophical knowledge, but it was taken to be </w:t>
      </w:r>
      <w:r>
        <w:rPr>
          <w:rFonts w:ascii="Times New Roman" w:eastAsia="Times New Roman" w:hAnsi="Times New Roman" w:cs="Times New Roman"/>
          <w:i/>
          <w:sz w:val="24"/>
          <w:szCs w:val="24"/>
        </w:rPr>
        <w:t xml:space="preserve">knowledge </w:t>
      </w:r>
      <w:r>
        <w:rPr>
          <w:rFonts w:ascii="Times New Roman" w:eastAsia="Times New Roman" w:hAnsi="Times New Roman" w:cs="Times New Roman"/>
          <w:sz w:val="24"/>
          <w:szCs w:val="24"/>
        </w:rPr>
        <w:t xml:space="preserve">nonetheless, so that a philosophical argument with authoritative theological premises was simply an argument wherein those premises were taken to be </w:t>
      </w:r>
      <w:r>
        <w:rPr>
          <w:rFonts w:ascii="Times New Roman" w:eastAsia="Times New Roman" w:hAnsi="Times New Roman" w:cs="Times New Roman"/>
          <w:i/>
          <w:sz w:val="24"/>
          <w:szCs w:val="24"/>
        </w:rPr>
        <w:t>known</w:t>
      </w:r>
      <w:r>
        <w:rPr>
          <w:rFonts w:ascii="Times New Roman" w:eastAsia="Times New Roman" w:hAnsi="Times New Roman" w:cs="Times New Roman"/>
          <w:sz w:val="24"/>
          <w:szCs w:val="24"/>
        </w:rPr>
        <w:t>. Arguing for a metaphysical conclusion (in this case, the actuality of the formal distinction) from widely held theological premises would have appeared no less “philosophical” in their day than arguing for metaphysical conclusions from widely held scientific premises does in our own. In fact, participants in the debate over the Achilles treated the topic in works devoted to philosophy proper and not only in theology.</w:t>
      </w:r>
      <w:r>
        <w:rPr>
          <w:rFonts w:ascii="Times New Roman" w:eastAsia="Times New Roman" w:hAnsi="Times New Roman" w:cs="Times New Roman"/>
          <w:sz w:val="24"/>
          <w:szCs w:val="24"/>
          <w:vertAlign w:val="superscript"/>
        </w:rPr>
        <w:footnoteReference w:id="36"/>
      </w:r>
      <w:r>
        <w:rPr>
          <w:rFonts w:ascii="Times New Roman" w:eastAsia="Times New Roman" w:hAnsi="Times New Roman" w:cs="Times New Roman"/>
          <w:sz w:val="24"/>
          <w:szCs w:val="24"/>
        </w:rPr>
        <w:t xml:space="preserve"> Moreover, relegating Trinitarian dogma exclusively to the domain of theology is in this context somewhat tendentious, since one can also find diverse </w:t>
      </w:r>
      <w:r>
        <w:rPr>
          <w:rFonts w:ascii="Times New Roman" w:eastAsia="Times New Roman" w:hAnsi="Times New Roman" w:cs="Times New Roman"/>
          <w:i/>
          <w:sz w:val="24"/>
          <w:szCs w:val="24"/>
        </w:rPr>
        <w:t xml:space="preserve">philosophical </w:t>
      </w:r>
      <w:r>
        <w:rPr>
          <w:rFonts w:ascii="Times New Roman" w:eastAsia="Times New Roman" w:hAnsi="Times New Roman" w:cs="Times New Roman"/>
          <w:sz w:val="24"/>
          <w:szCs w:val="24"/>
        </w:rPr>
        <w:t>arguments for Trinitarian dogma in the scholastics and in the earlier Christian philosophical tradition.</w:t>
      </w:r>
      <w:r>
        <w:rPr>
          <w:rFonts w:ascii="Times New Roman" w:eastAsia="Times New Roman" w:hAnsi="Times New Roman" w:cs="Times New Roman"/>
          <w:sz w:val="24"/>
          <w:szCs w:val="24"/>
          <w:vertAlign w:val="superscript"/>
        </w:rPr>
        <w:footnoteReference w:id="37"/>
      </w:r>
    </w:p>
    <w:p w14:paraId="0000002B" w14:textId="77777777" w:rsidR="008D1538" w:rsidRDefault="00000000">
      <w:pPr>
        <w:spacing w:after="200"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 Denying Premise 2</w:t>
      </w:r>
    </w:p>
    <w:p w14:paraId="0000002C" w14:textId="77777777" w:rsidR="008D1538" w:rsidRDefault="00000000">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Paul Mezger, a late-17th century Salzberg Thomist, denies the second premise. Mezger, in responding to the Achilles, says,</w:t>
      </w:r>
      <w:r>
        <w:rPr>
          <w:rFonts w:ascii="Times New Roman" w:eastAsia="Times New Roman" w:hAnsi="Times New Roman" w:cs="Times New Roman"/>
          <w:sz w:val="24"/>
          <w:szCs w:val="24"/>
          <w:vertAlign w:val="superscript"/>
        </w:rPr>
        <w:footnoteReference w:id="38"/>
      </w:r>
    </w:p>
    <w:p w14:paraId="0000002D" w14:textId="77777777" w:rsidR="008D1538" w:rsidRDefault="00000000">
      <w:pPr>
        <w:spacing w:after="20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I respond by denying the minor [i.e., Premise 2]. Since actually, </w:t>
      </w:r>
      <w:r>
        <w:rPr>
          <w:rFonts w:ascii="Times New Roman" w:eastAsia="Times New Roman" w:hAnsi="Times New Roman" w:cs="Times New Roman"/>
          <w:i/>
          <w:sz w:val="24"/>
          <w:szCs w:val="24"/>
        </w:rPr>
        <w:t xml:space="preserve">a </w:t>
      </w:r>
      <w:proofErr w:type="spellStart"/>
      <w:r>
        <w:rPr>
          <w:rFonts w:ascii="Times New Roman" w:eastAsia="Times New Roman" w:hAnsi="Times New Roman" w:cs="Times New Roman"/>
          <w:i/>
          <w:sz w:val="24"/>
          <w:szCs w:val="24"/>
        </w:rPr>
        <w:t>parte</w:t>
      </w:r>
      <w:proofErr w:type="spellEnd"/>
      <w:r>
        <w:rPr>
          <w:rFonts w:ascii="Times New Roman" w:eastAsia="Times New Roman" w:hAnsi="Times New Roman" w:cs="Times New Roman"/>
          <w:i/>
          <w:sz w:val="24"/>
          <w:szCs w:val="24"/>
        </w:rPr>
        <w:t xml:space="preserve"> rei</w:t>
      </w:r>
      <w:r>
        <w:rPr>
          <w:rFonts w:ascii="Times New Roman" w:eastAsia="Times New Roman" w:hAnsi="Times New Roman" w:cs="Times New Roman"/>
          <w:sz w:val="24"/>
          <w:szCs w:val="24"/>
        </w:rPr>
        <w:t xml:space="preserve">, prior to our intellect </w:t>
      </w:r>
      <w:proofErr w:type="spellStart"/>
      <w:r>
        <w:rPr>
          <w:rFonts w:ascii="Times New Roman" w:eastAsia="Times New Roman" w:hAnsi="Times New Roman" w:cs="Times New Roman"/>
          <w:sz w:val="24"/>
          <w:szCs w:val="24"/>
        </w:rPr>
        <w:t>precisively</w:t>
      </w:r>
      <w:proofErr w:type="spellEnd"/>
      <w:r>
        <w:rPr>
          <w:rFonts w:ascii="Times New Roman" w:eastAsia="Times New Roman" w:hAnsi="Times New Roman" w:cs="Times New Roman"/>
          <w:sz w:val="24"/>
          <w:szCs w:val="24"/>
        </w:rPr>
        <w:t xml:space="preserve"> and inadequately forming a distinction between the essence and the personalities by means of a concept, [ii] there is a certain real foundation of the contradiction, which foundation is the divine essence insofar as it contains the absolute perfection of a nature communicating itself and insofar as it contains the relative form of Paternity with respect to the Son, and producing Him. [iii] </w:t>
      </w:r>
      <w:proofErr w:type="gramStart"/>
      <w:r>
        <w:rPr>
          <w:rFonts w:ascii="Times New Roman" w:eastAsia="Times New Roman" w:hAnsi="Times New Roman" w:cs="Times New Roman"/>
          <w:sz w:val="24"/>
          <w:szCs w:val="24"/>
        </w:rPr>
        <w:t>But</w:t>
      </w:r>
      <w:proofErr w:type="gramEnd"/>
      <w:r>
        <w:rPr>
          <w:rFonts w:ascii="Times New Roman" w:eastAsia="Times New Roman" w:hAnsi="Times New Roman" w:cs="Times New Roman"/>
          <w:sz w:val="24"/>
          <w:szCs w:val="24"/>
        </w:rPr>
        <w:t xml:space="preserve"> there is not a negation consisting in non-production or non-communication: [iv] for these are superadded from a created intellect by prescinding and mutually opposing one </w:t>
      </w:r>
      <w:r>
        <w:rPr>
          <w:rFonts w:ascii="Times New Roman" w:eastAsia="Times New Roman" w:hAnsi="Times New Roman" w:cs="Times New Roman"/>
          <w:i/>
          <w:sz w:val="24"/>
          <w:szCs w:val="24"/>
        </w:rPr>
        <w:t xml:space="preserve">ratio </w:t>
      </w:r>
      <w:r>
        <w:rPr>
          <w:rFonts w:ascii="Times New Roman" w:eastAsia="Times New Roman" w:hAnsi="Times New Roman" w:cs="Times New Roman"/>
          <w:sz w:val="24"/>
          <w:szCs w:val="24"/>
        </w:rPr>
        <w:t xml:space="preserve">from another…. Hence insofar as the eminence is under inadequate concepts it </w:t>
      </w:r>
      <w:proofErr w:type="gramStart"/>
      <w:r>
        <w:rPr>
          <w:rFonts w:ascii="Times New Roman" w:eastAsia="Times New Roman" w:hAnsi="Times New Roman" w:cs="Times New Roman"/>
          <w:sz w:val="24"/>
          <w:szCs w:val="24"/>
        </w:rPr>
        <w:t>is able to</w:t>
      </w:r>
      <w:proofErr w:type="gramEnd"/>
      <w:r>
        <w:rPr>
          <w:rFonts w:ascii="Times New Roman" w:eastAsia="Times New Roman" w:hAnsi="Times New Roman" w:cs="Times New Roman"/>
          <w:sz w:val="24"/>
          <w:szCs w:val="24"/>
        </w:rPr>
        <w:t xml:space="preserve"> receive contradictions; [v] but not insofar as it is under intuitive cognition. </w:t>
      </w:r>
    </w:p>
    <w:p w14:paraId="0000002E" w14:textId="77777777" w:rsidR="008D1538" w:rsidRDefault="00000000">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 we see that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Mezger denies premise 2; prior to any act of the intellect, the essence is communicable, but so is paternity. This is why he denies that (iii) there is “non-communication” in God. Instead, (ii) there is merely a real foundation for the “contradiction.”</w:t>
      </w:r>
      <w:r>
        <w:rPr>
          <w:rFonts w:ascii="Times New Roman" w:eastAsia="Times New Roman" w:hAnsi="Times New Roman" w:cs="Times New Roman"/>
          <w:sz w:val="24"/>
          <w:szCs w:val="24"/>
          <w:vertAlign w:val="superscript"/>
        </w:rPr>
        <w:footnoteReference w:id="39"/>
      </w:r>
      <w:r>
        <w:rPr>
          <w:rFonts w:ascii="Times New Roman" w:eastAsia="Times New Roman" w:hAnsi="Times New Roman" w:cs="Times New Roman"/>
          <w:sz w:val="24"/>
          <w:szCs w:val="24"/>
        </w:rPr>
        <w:t xml:space="preserve"> That foundation is the divine essence as containing the perfections </w:t>
      </w:r>
      <w:proofErr w:type="gramStart"/>
      <w:r>
        <w:rPr>
          <w:rFonts w:ascii="Times New Roman" w:eastAsia="Times New Roman" w:hAnsi="Times New Roman" w:cs="Times New Roman"/>
          <w:sz w:val="24"/>
          <w:szCs w:val="24"/>
        </w:rPr>
        <w:t>both of the nature</w:t>
      </w:r>
      <w:proofErr w:type="gramEnd"/>
      <w:r>
        <w:rPr>
          <w:rFonts w:ascii="Times New Roman" w:eastAsia="Times New Roman" w:hAnsi="Times New Roman" w:cs="Times New Roman"/>
          <w:sz w:val="24"/>
          <w:szCs w:val="24"/>
        </w:rPr>
        <w:t xml:space="preserve"> and of the relational property of paternity. This real foundation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is just a feature of the way the world is, prior to our intellect forming distinct concepts of the essence and paternity.</w:t>
      </w:r>
      <w:r>
        <w:rPr>
          <w:rFonts w:ascii="Times New Roman" w:eastAsia="Times New Roman" w:hAnsi="Times New Roman" w:cs="Times New Roman"/>
          <w:sz w:val="24"/>
          <w:szCs w:val="24"/>
          <w:vertAlign w:val="superscript"/>
        </w:rPr>
        <w:footnoteReference w:id="40"/>
      </w:r>
      <w:r>
        <w:rPr>
          <w:rFonts w:ascii="Times New Roman" w:eastAsia="Times New Roman" w:hAnsi="Times New Roman" w:cs="Times New Roman"/>
          <w:sz w:val="24"/>
          <w:szCs w:val="24"/>
        </w:rPr>
        <w:t xml:space="preserve"> Because the divine essence contains the </w:t>
      </w:r>
      <w:r>
        <w:rPr>
          <w:rFonts w:ascii="Times New Roman" w:eastAsia="Times New Roman" w:hAnsi="Times New Roman" w:cs="Times New Roman"/>
          <w:i/>
          <w:sz w:val="24"/>
          <w:szCs w:val="24"/>
        </w:rPr>
        <w:t xml:space="preserve">rationes </w:t>
      </w:r>
      <w:r>
        <w:rPr>
          <w:rFonts w:ascii="Times New Roman" w:eastAsia="Times New Roman" w:hAnsi="Times New Roman" w:cs="Times New Roman"/>
          <w:sz w:val="24"/>
          <w:szCs w:val="24"/>
        </w:rPr>
        <w:t xml:space="preserve">both of the nature and of the relational property of paternity, there is a disposition in the essence so that (iv) the human intellect will consider those </w:t>
      </w:r>
      <w:r>
        <w:rPr>
          <w:rFonts w:ascii="Times New Roman" w:eastAsia="Times New Roman" w:hAnsi="Times New Roman" w:cs="Times New Roman"/>
          <w:i/>
          <w:sz w:val="24"/>
          <w:szCs w:val="24"/>
        </w:rPr>
        <w:t xml:space="preserve">rationes </w:t>
      </w:r>
      <w:r>
        <w:rPr>
          <w:rFonts w:ascii="Times New Roman" w:eastAsia="Times New Roman" w:hAnsi="Times New Roman" w:cs="Times New Roman"/>
          <w:sz w:val="24"/>
          <w:szCs w:val="24"/>
        </w:rPr>
        <w:t xml:space="preserve">separately (“prescinding… </w:t>
      </w:r>
      <w:r>
        <w:rPr>
          <w:rFonts w:ascii="Times New Roman" w:eastAsia="Times New Roman" w:hAnsi="Times New Roman" w:cs="Times New Roman"/>
          <w:sz w:val="24"/>
          <w:szCs w:val="24"/>
        </w:rPr>
        <w:lastRenderedPageBreak/>
        <w:t xml:space="preserve">one </w:t>
      </w:r>
      <w:r>
        <w:rPr>
          <w:rFonts w:ascii="Times New Roman" w:eastAsia="Times New Roman" w:hAnsi="Times New Roman" w:cs="Times New Roman"/>
          <w:i/>
          <w:sz w:val="24"/>
          <w:szCs w:val="24"/>
        </w:rPr>
        <w:t xml:space="preserve">ratio </w:t>
      </w:r>
      <w:r>
        <w:rPr>
          <w:rFonts w:ascii="Times New Roman" w:eastAsia="Times New Roman" w:hAnsi="Times New Roman" w:cs="Times New Roman"/>
          <w:sz w:val="24"/>
          <w:szCs w:val="24"/>
        </w:rPr>
        <w:t xml:space="preserve">from another”) and will consider them as contradictory (“opposing one </w:t>
      </w:r>
      <w:r>
        <w:rPr>
          <w:rFonts w:ascii="Times New Roman" w:eastAsia="Times New Roman" w:hAnsi="Times New Roman" w:cs="Times New Roman"/>
          <w:i/>
          <w:sz w:val="24"/>
          <w:szCs w:val="24"/>
        </w:rPr>
        <w:t xml:space="preserve">ratio </w:t>
      </w:r>
      <w:r>
        <w:rPr>
          <w:rFonts w:ascii="Times New Roman" w:eastAsia="Times New Roman" w:hAnsi="Times New Roman" w:cs="Times New Roman"/>
          <w:sz w:val="24"/>
          <w:szCs w:val="24"/>
        </w:rPr>
        <w:t>from the other”), even though paternity is incommunicable only posterior to the act of the intellect.</w:t>
      </w:r>
      <w:r>
        <w:rPr>
          <w:rFonts w:ascii="Times New Roman" w:eastAsia="Times New Roman" w:hAnsi="Times New Roman" w:cs="Times New Roman"/>
          <w:sz w:val="24"/>
          <w:szCs w:val="24"/>
          <w:vertAlign w:val="superscript"/>
        </w:rPr>
        <w:footnoteReference w:id="41"/>
      </w:r>
      <w:r>
        <w:rPr>
          <w:rFonts w:ascii="Times New Roman" w:eastAsia="Times New Roman" w:hAnsi="Times New Roman" w:cs="Times New Roman"/>
          <w:sz w:val="24"/>
          <w:szCs w:val="24"/>
        </w:rPr>
        <w:t xml:space="preserve"> </w:t>
      </w:r>
    </w:p>
    <w:p w14:paraId="0000002F" w14:textId="77777777" w:rsidR="008D1538" w:rsidRDefault="00000000">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 what the virtual distinction does is explain why premise 2 </w:t>
      </w:r>
      <w:r>
        <w:rPr>
          <w:rFonts w:ascii="Times New Roman" w:eastAsia="Times New Roman" w:hAnsi="Times New Roman" w:cs="Times New Roman"/>
          <w:i/>
          <w:sz w:val="24"/>
          <w:szCs w:val="24"/>
        </w:rPr>
        <w:t>seems</w:t>
      </w:r>
      <w:r>
        <w:rPr>
          <w:rFonts w:ascii="Times New Roman" w:eastAsia="Times New Roman" w:hAnsi="Times New Roman" w:cs="Times New Roman"/>
          <w:sz w:val="24"/>
          <w:szCs w:val="24"/>
        </w:rPr>
        <w:t xml:space="preserve"> to be true even though it isn’t. On Mezger’s view, our intellect </w:t>
      </w:r>
      <w:proofErr w:type="gramStart"/>
      <w:r>
        <w:rPr>
          <w:rFonts w:ascii="Times New Roman" w:eastAsia="Times New Roman" w:hAnsi="Times New Roman" w:cs="Times New Roman"/>
          <w:i/>
          <w:sz w:val="24"/>
          <w:szCs w:val="24"/>
        </w:rPr>
        <w:t>has</w:t>
      </w:r>
      <w:r>
        <w:rPr>
          <w:rFonts w:ascii="Times New Roman" w:eastAsia="Times New Roman" w:hAnsi="Times New Roman" w:cs="Times New Roman"/>
          <w:sz w:val="24"/>
          <w:szCs w:val="24"/>
        </w:rPr>
        <w:t xml:space="preserve"> to</w:t>
      </w:r>
      <w:proofErr w:type="gramEnd"/>
      <w:r>
        <w:rPr>
          <w:rFonts w:ascii="Times New Roman" w:eastAsia="Times New Roman" w:hAnsi="Times New Roman" w:cs="Times New Roman"/>
          <w:sz w:val="24"/>
          <w:szCs w:val="24"/>
        </w:rPr>
        <w:t xml:space="preserve"> conceive of paternity as incommunicable due to God’s absolute perfection and the limitations of our finite intelligence, even though prior to any act of the intellect, paternity (that is, the divine essence) is </w:t>
      </w:r>
      <w:r>
        <w:rPr>
          <w:rFonts w:ascii="Times New Roman" w:eastAsia="Times New Roman" w:hAnsi="Times New Roman" w:cs="Times New Roman"/>
          <w:i/>
          <w:sz w:val="24"/>
          <w:szCs w:val="24"/>
        </w:rPr>
        <w:t>communicable</w:t>
      </w:r>
      <w:r>
        <w:rPr>
          <w:rFonts w:ascii="Times New Roman" w:eastAsia="Times New Roman" w:hAnsi="Times New Roman" w:cs="Times New Roman"/>
          <w:sz w:val="24"/>
          <w:szCs w:val="24"/>
        </w:rPr>
        <w:t xml:space="preserve">. </w:t>
      </w:r>
    </w:p>
    <w:p w14:paraId="00000030" w14:textId="77777777" w:rsidR="008D1538" w:rsidRDefault="00000000">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theological problem with this view is obvious. Paternity </w:t>
      </w:r>
      <w:r>
        <w:rPr>
          <w:rFonts w:ascii="Times New Roman" w:eastAsia="Times New Roman" w:hAnsi="Times New Roman" w:cs="Times New Roman"/>
          <w:i/>
          <w:sz w:val="24"/>
          <w:szCs w:val="24"/>
        </w:rPr>
        <w:t>can’t</w:t>
      </w:r>
      <w:r>
        <w:rPr>
          <w:rFonts w:ascii="Times New Roman" w:eastAsia="Times New Roman" w:hAnsi="Times New Roman" w:cs="Times New Roman"/>
          <w:sz w:val="24"/>
          <w:szCs w:val="24"/>
        </w:rPr>
        <w:t xml:space="preserve"> be communicable prior to any act of the intellect. It’s not merely a matter of how we conceive of God that the Son lacks Paternity! If Paternity really were communicable prior to any act of the intellect, the </w:t>
      </w:r>
      <w:proofErr w:type="gramStart"/>
      <w:r>
        <w:rPr>
          <w:rFonts w:ascii="Times New Roman" w:eastAsia="Times New Roman" w:hAnsi="Times New Roman" w:cs="Times New Roman"/>
          <w:sz w:val="24"/>
          <w:szCs w:val="24"/>
        </w:rPr>
        <w:t>Son</w:t>
      </w:r>
      <w:proofErr w:type="gramEnd"/>
      <w:r>
        <w:rPr>
          <w:rFonts w:ascii="Times New Roman" w:eastAsia="Times New Roman" w:hAnsi="Times New Roman" w:cs="Times New Roman"/>
          <w:sz w:val="24"/>
          <w:szCs w:val="24"/>
        </w:rPr>
        <w:t xml:space="preserve"> would also have Paternity prior to any act of the intellect, and would thus </w:t>
      </w:r>
      <w:r>
        <w:rPr>
          <w:rFonts w:ascii="Times New Roman" w:eastAsia="Times New Roman" w:hAnsi="Times New Roman" w:cs="Times New Roman"/>
          <w:i/>
          <w:sz w:val="24"/>
          <w:szCs w:val="24"/>
        </w:rPr>
        <w:t>be the Father</w:t>
      </w:r>
      <w:r>
        <w:rPr>
          <w:rFonts w:ascii="Times New Roman" w:eastAsia="Times New Roman" w:hAnsi="Times New Roman" w:cs="Times New Roman"/>
          <w:sz w:val="24"/>
          <w:szCs w:val="24"/>
        </w:rPr>
        <w:t xml:space="preserve"> prior to any act of the intellect.</w:t>
      </w:r>
      <w:r>
        <w:rPr>
          <w:rFonts w:ascii="Times New Roman" w:eastAsia="Times New Roman" w:hAnsi="Times New Roman" w:cs="Times New Roman"/>
          <w:sz w:val="24"/>
          <w:szCs w:val="24"/>
          <w:vertAlign w:val="superscript"/>
        </w:rPr>
        <w:footnoteReference w:id="42"/>
      </w:r>
      <w:r>
        <w:rPr>
          <w:rFonts w:ascii="Times New Roman" w:eastAsia="Times New Roman" w:hAnsi="Times New Roman" w:cs="Times New Roman"/>
          <w:sz w:val="24"/>
          <w:szCs w:val="24"/>
        </w:rPr>
        <w:t xml:space="preserve"> Rejecting premise 2 is a theological non-starter.</w:t>
      </w:r>
    </w:p>
    <w:p w14:paraId="00000031" w14:textId="77777777" w:rsidR="008D1538" w:rsidRDefault="00000000">
      <w:pPr>
        <w:spacing w:after="200"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Reduplication Strategies </w:t>
      </w:r>
    </w:p>
    <w:p w14:paraId="00000032" w14:textId="77777777" w:rsidR="008D1538" w:rsidRDefault="00000000">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Let’s move on to the other strategies, all of which involve denying–or purporting to deny–premise 1 of the Achilles. Before considering these in detail, it will be helpful to note just how difficult it is to resist premise 1. </w:t>
      </w:r>
    </w:p>
    <w:p w14:paraId="00000033" w14:textId="77777777" w:rsidR="008D1538" w:rsidRDefault="00000000">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powerful motivation for premise 1 comes in two stages. First, make the plausible assumption that it is </w:t>
      </w:r>
      <w:r>
        <w:rPr>
          <w:rFonts w:ascii="Times New Roman" w:eastAsia="Times New Roman" w:hAnsi="Times New Roman" w:cs="Times New Roman"/>
          <w:i/>
          <w:sz w:val="24"/>
          <w:szCs w:val="24"/>
        </w:rPr>
        <w:t>contradictory</w:t>
      </w:r>
      <w:r>
        <w:rPr>
          <w:rFonts w:ascii="Times New Roman" w:eastAsia="Times New Roman" w:hAnsi="Times New Roman" w:cs="Times New Roman"/>
          <w:sz w:val="24"/>
          <w:szCs w:val="24"/>
        </w:rPr>
        <w:t xml:space="preserve"> to be both communicable and incommunicable.</w:t>
      </w:r>
      <w:r>
        <w:rPr>
          <w:rFonts w:ascii="Times New Roman" w:eastAsia="Times New Roman" w:hAnsi="Times New Roman" w:cs="Times New Roman"/>
          <w:sz w:val="24"/>
          <w:szCs w:val="24"/>
          <w:vertAlign w:val="superscript"/>
        </w:rPr>
        <w:footnoteReference w:id="43"/>
      </w:r>
      <w:r>
        <w:rPr>
          <w:rFonts w:ascii="Times New Roman" w:eastAsia="Times New Roman" w:hAnsi="Times New Roman" w:cs="Times New Roman"/>
          <w:sz w:val="24"/>
          <w:szCs w:val="24"/>
        </w:rPr>
        <w:t xml:space="preserve"> Call this the </w:t>
      </w:r>
      <w:r>
        <w:rPr>
          <w:rFonts w:ascii="Times New Roman" w:eastAsia="Times New Roman" w:hAnsi="Times New Roman" w:cs="Times New Roman"/>
          <w:i/>
          <w:sz w:val="24"/>
          <w:szCs w:val="24"/>
        </w:rPr>
        <w:t xml:space="preserve">Contradictoriness Assumption </w:t>
      </w:r>
      <w:r>
        <w:rPr>
          <w:rFonts w:ascii="Times New Roman" w:eastAsia="Times New Roman" w:hAnsi="Times New Roman" w:cs="Times New Roman"/>
          <w:sz w:val="24"/>
          <w:szCs w:val="24"/>
        </w:rPr>
        <w:t>(CA). Second, endorse</w:t>
      </w:r>
      <w:r>
        <w:rPr>
          <w:rFonts w:ascii="Times New Roman" w:eastAsia="Times New Roman" w:hAnsi="Times New Roman" w:cs="Times New Roman"/>
          <w:sz w:val="24"/>
          <w:szCs w:val="24"/>
          <w:vertAlign w:val="superscript"/>
        </w:rPr>
        <w:footnoteReference w:id="44"/>
      </w:r>
      <w:r>
        <w:rPr>
          <w:rFonts w:ascii="Times New Roman" w:eastAsia="Times New Roman" w:hAnsi="Times New Roman" w:cs="Times New Roman"/>
          <w:sz w:val="24"/>
          <w:szCs w:val="24"/>
        </w:rPr>
        <w:t xml:space="preserve"> every instance of the following, very plausible conditional:</w:t>
      </w:r>
    </w:p>
    <w:p w14:paraId="00000034" w14:textId="77777777" w:rsidR="008D1538" w:rsidRDefault="00000000">
      <w:pPr>
        <w:numPr>
          <w:ilvl w:val="0"/>
          <w:numId w:val="1"/>
        </w:num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(a) it is contradictory to be F and G, and (b) </w:t>
      </w:r>
      <w:r>
        <w:rPr>
          <w:rFonts w:ascii="Times New Roman" w:eastAsia="Times New Roman" w:hAnsi="Times New Roman" w:cs="Times New Roman"/>
          <w:i/>
          <w:sz w:val="24"/>
          <w:szCs w:val="24"/>
        </w:rPr>
        <w:t>prior to any act of the intellect</w:t>
      </w:r>
      <w:r>
        <w:rPr>
          <w:rFonts w:ascii="Times New Roman" w:eastAsia="Times New Roman" w:hAnsi="Times New Roman" w:cs="Times New Roman"/>
          <w:sz w:val="24"/>
          <w:szCs w:val="24"/>
        </w:rPr>
        <w:t xml:space="preserve">, x is F and y is G, then x and y are distinct </w:t>
      </w:r>
      <w:r>
        <w:rPr>
          <w:rFonts w:ascii="Times New Roman" w:eastAsia="Times New Roman" w:hAnsi="Times New Roman" w:cs="Times New Roman"/>
          <w:i/>
          <w:sz w:val="24"/>
          <w:szCs w:val="24"/>
        </w:rPr>
        <w:t>prior to any act of the intellect</w:t>
      </w:r>
      <w:r>
        <w:rPr>
          <w:rFonts w:ascii="Times New Roman" w:eastAsia="Times New Roman" w:hAnsi="Times New Roman" w:cs="Times New Roman"/>
          <w:sz w:val="24"/>
          <w:szCs w:val="24"/>
        </w:rPr>
        <w:t>.</w:t>
      </w:r>
    </w:p>
    <w:p w14:paraId="00000035" w14:textId="77777777" w:rsidR="008D1538" w:rsidRDefault="00000000">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Call the above schema the </w:t>
      </w:r>
      <w:r>
        <w:rPr>
          <w:rFonts w:ascii="Times New Roman" w:eastAsia="Times New Roman" w:hAnsi="Times New Roman" w:cs="Times New Roman"/>
          <w:i/>
          <w:sz w:val="24"/>
          <w:szCs w:val="24"/>
        </w:rPr>
        <w:t xml:space="preserve">No-Contradiction Principle </w:t>
      </w:r>
      <w:r>
        <w:rPr>
          <w:rFonts w:ascii="Times New Roman" w:eastAsia="Times New Roman" w:hAnsi="Times New Roman" w:cs="Times New Roman"/>
          <w:sz w:val="24"/>
          <w:szCs w:val="24"/>
        </w:rPr>
        <w:t>(NCP). The route to the first premise of the Achilles is then straightforward. For if one endorses every instance of the NCP, the CA commits one to the following:</w:t>
      </w:r>
    </w:p>
    <w:p w14:paraId="00000036" w14:textId="77777777" w:rsidR="008D1538" w:rsidRDefault="00000000">
      <w:pPr>
        <w:numPr>
          <w:ilvl w:val="0"/>
          <w:numId w:val="6"/>
        </w:num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If, </w:t>
      </w:r>
      <w:r>
        <w:rPr>
          <w:rFonts w:ascii="Times New Roman" w:eastAsia="Times New Roman" w:hAnsi="Times New Roman" w:cs="Times New Roman"/>
          <w:i/>
          <w:sz w:val="24"/>
          <w:szCs w:val="24"/>
        </w:rPr>
        <w:t>prior to any act of the intellect</w:t>
      </w:r>
      <w:r>
        <w:rPr>
          <w:rFonts w:ascii="Times New Roman" w:eastAsia="Times New Roman" w:hAnsi="Times New Roman" w:cs="Times New Roman"/>
          <w:sz w:val="24"/>
          <w:szCs w:val="24"/>
        </w:rPr>
        <w:t xml:space="preserve">, x is communicable and y is incommunicable, then x and y are distinct </w:t>
      </w:r>
      <w:r>
        <w:rPr>
          <w:rFonts w:ascii="Times New Roman" w:eastAsia="Times New Roman" w:hAnsi="Times New Roman" w:cs="Times New Roman"/>
          <w:i/>
          <w:sz w:val="24"/>
          <w:szCs w:val="24"/>
        </w:rPr>
        <w:t>prior to any act of the intellect</w:t>
      </w:r>
      <w:r>
        <w:rPr>
          <w:rFonts w:ascii="Times New Roman" w:eastAsia="Times New Roman" w:hAnsi="Times New Roman" w:cs="Times New Roman"/>
          <w:sz w:val="24"/>
          <w:szCs w:val="24"/>
        </w:rPr>
        <w:t>.</w:t>
      </w:r>
    </w:p>
    <w:p w14:paraId="00000037" w14:textId="77777777" w:rsidR="008D1538" w:rsidRDefault="00000000">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simply premise 1 of the Achilles. So, premise 1 can only be resisted by failing to assume the CA or failing to endorse some instance of the NCP. Neither looks particularly attractive. As we will see, this unattractiveness characterizes all viable responses to the Achilles. </w:t>
      </w:r>
    </w:p>
    <w:p w14:paraId="00000038" w14:textId="77777777" w:rsidR="008D1538" w:rsidRDefault="00000000">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leads us to the second response we will discuss in this paper, which recruits reduplication in responding to premise 1 (and its derivation from the NCP). The 17th century Thomists John of St. Thomas, Jean </w:t>
      </w:r>
      <w:proofErr w:type="spellStart"/>
      <w:r>
        <w:rPr>
          <w:rFonts w:ascii="Times New Roman" w:eastAsia="Times New Roman" w:hAnsi="Times New Roman" w:cs="Times New Roman"/>
          <w:sz w:val="24"/>
          <w:szCs w:val="24"/>
        </w:rPr>
        <w:t>Baptise</w:t>
      </w:r>
      <w:proofErr w:type="spellEnd"/>
      <w:r>
        <w:rPr>
          <w:rFonts w:ascii="Times New Roman" w:eastAsia="Times New Roman" w:hAnsi="Times New Roman" w:cs="Times New Roman"/>
          <w:sz w:val="24"/>
          <w:szCs w:val="24"/>
        </w:rPr>
        <w:t xml:space="preserve"> Gonet, and Vicente Ferre are some of the better-known defenders of this view.</w:t>
      </w:r>
    </w:p>
    <w:p w14:paraId="00000039" w14:textId="77777777" w:rsidR="008D1538" w:rsidRDefault="00000000">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term ‘reduplication’ refers to various ways of modifying simple predications: here, paradigmatically, going from a sentence like ‘x is F’ to sentences like ‘x is F </w:t>
      </w:r>
      <w:r>
        <w:rPr>
          <w:rFonts w:ascii="Times New Roman" w:eastAsia="Times New Roman" w:hAnsi="Times New Roman" w:cs="Times New Roman"/>
          <w:i/>
          <w:sz w:val="24"/>
          <w:szCs w:val="24"/>
        </w:rPr>
        <w:t>qua</w:t>
      </w:r>
      <w:r>
        <w:rPr>
          <w:rFonts w:ascii="Times New Roman" w:eastAsia="Times New Roman" w:hAnsi="Times New Roman" w:cs="Times New Roman"/>
          <w:sz w:val="24"/>
          <w:szCs w:val="24"/>
        </w:rPr>
        <w:t>-G’. There are different ways of interpreting these ‘</w:t>
      </w:r>
      <w:r>
        <w:rPr>
          <w:rFonts w:ascii="Times New Roman" w:eastAsia="Times New Roman" w:hAnsi="Times New Roman" w:cs="Times New Roman"/>
          <w:i/>
          <w:sz w:val="24"/>
          <w:szCs w:val="24"/>
        </w:rPr>
        <w:t>qua</w:t>
      </w:r>
      <w:r>
        <w:rPr>
          <w:rFonts w:ascii="Times New Roman" w:eastAsia="Times New Roman" w:hAnsi="Times New Roman" w:cs="Times New Roman"/>
          <w:sz w:val="24"/>
          <w:szCs w:val="24"/>
        </w:rPr>
        <w:t>’-locutions in both scholastic and contemporary metaphysics.</w:t>
      </w:r>
      <w:r>
        <w:rPr>
          <w:rFonts w:ascii="Times New Roman" w:eastAsia="Times New Roman" w:hAnsi="Times New Roman" w:cs="Times New Roman"/>
          <w:sz w:val="24"/>
          <w:szCs w:val="24"/>
          <w:vertAlign w:val="superscript"/>
        </w:rPr>
        <w:footnoteReference w:id="45"/>
      </w:r>
      <w:r>
        <w:rPr>
          <w:rFonts w:ascii="Times New Roman" w:eastAsia="Times New Roman" w:hAnsi="Times New Roman" w:cs="Times New Roman"/>
          <w:sz w:val="24"/>
          <w:szCs w:val="24"/>
        </w:rPr>
        <w:t xml:space="preserve"> Fortunately, the technical differences between these interpretations do not matter for our purposes; as such, in what follows we use the term ‘reduplication’ to refer generically to these sorts of ‘</w:t>
      </w:r>
      <w:r>
        <w:rPr>
          <w:rFonts w:ascii="Times New Roman" w:eastAsia="Times New Roman" w:hAnsi="Times New Roman" w:cs="Times New Roman"/>
          <w:i/>
          <w:sz w:val="24"/>
          <w:szCs w:val="24"/>
        </w:rPr>
        <w:t>qua</w:t>
      </w:r>
      <w:r>
        <w:rPr>
          <w:rFonts w:ascii="Times New Roman" w:eastAsia="Times New Roman" w:hAnsi="Times New Roman" w:cs="Times New Roman"/>
          <w:sz w:val="24"/>
          <w:szCs w:val="24"/>
        </w:rPr>
        <w:t>’-modifications.</w:t>
      </w:r>
    </w:p>
    <w:p w14:paraId="0000003A" w14:textId="77777777" w:rsidR="008D1538" w:rsidRDefault="00000000">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his Logic, John of St. Thomas briefly addresses the Achilles, saying that “contradictories can be verified of the same thing under diverse </w:t>
      </w:r>
      <w:r>
        <w:rPr>
          <w:rFonts w:ascii="Times New Roman" w:eastAsia="Times New Roman" w:hAnsi="Times New Roman" w:cs="Times New Roman"/>
          <w:i/>
          <w:sz w:val="24"/>
          <w:szCs w:val="24"/>
        </w:rPr>
        <w:t>rationes</w:t>
      </w:r>
      <w:r>
        <w:rPr>
          <w:rFonts w:ascii="Times New Roman" w:eastAsia="Times New Roman" w:hAnsi="Times New Roman" w:cs="Times New Roman"/>
          <w:sz w:val="24"/>
          <w:szCs w:val="24"/>
        </w:rPr>
        <w:t xml:space="preserve"> by a concept, but not under the same </w:t>
      </w:r>
      <w:r>
        <w:rPr>
          <w:rFonts w:ascii="Times New Roman" w:eastAsia="Times New Roman" w:hAnsi="Times New Roman" w:cs="Times New Roman"/>
          <w:i/>
          <w:sz w:val="24"/>
          <w:szCs w:val="24"/>
        </w:rPr>
        <w:t>ratio</w:t>
      </w:r>
      <w:r>
        <w:rPr>
          <w:rFonts w:ascii="Times New Roman" w:eastAsia="Times New Roman" w:hAnsi="Times New Roman" w:cs="Times New Roman"/>
          <w:sz w:val="24"/>
          <w:szCs w:val="24"/>
        </w:rPr>
        <w:t>, especially when the contradictories are made under some reduplication or at least virtual appellation.”</w:t>
      </w:r>
      <w:r>
        <w:rPr>
          <w:rFonts w:ascii="Times New Roman" w:eastAsia="Times New Roman" w:hAnsi="Times New Roman" w:cs="Times New Roman"/>
          <w:sz w:val="24"/>
          <w:szCs w:val="24"/>
          <w:vertAlign w:val="superscript"/>
        </w:rPr>
        <w:footnoteReference w:id="46"/>
      </w:r>
      <w:r>
        <w:rPr>
          <w:rFonts w:ascii="Times New Roman" w:eastAsia="Times New Roman" w:hAnsi="Times New Roman" w:cs="Times New Roman"/>
          <w:sz w:val="24"/>
          <w:szCs w:val="24"/>
        </w:rPr>
        <w:t xml:space="preserve"> In applying reduplication to the Achilles, he says that “the same most simple </w:t>
      </w:r>
      <w:r>
        <w:rPr>
          <w:rFonts w:ascii="Times New Roman" w:eastAsia="Times New Roman" w:hAnsi="Times New Roman" w:cs="Times New Roman"/>
          <w:sz w:val="24"/>
          <w:szCs w:val="24"/>
        </w:rPr>
        <w:lastRenderedPageBreak/>
        <w:t>entity from His own eminence has the condition of many things, and thus it has the capacity that this contradiction can be verified of it.”</w:t>
      </w:r>
      <w:r>
        <w:rPr>
          <w:rFonts w:ascii="Times New Roman" w:eastAsia="Times New Roman" w:hAnsi="Times New Roman" w:cs="Times New Roman"/>
          <w:sz w:val="24"/>
          <w:szCs w:val="24"/>
          <w:vertAlign w:val="superscript"/>
        </w:rPr>
        <w:footnoteReference w:id="47"/>
      </w:r>
      <w:r>
        <w:rPr>
          <w:rFonts w:ascii="Times New Roman" w:eastAsia="Times New Roman" w:hAnsi="Times New Roman" w:cs="Times New Roman"/>
          <w:sz w:val="24"/>
          <w:szCs w:val="24"/>
        </w:rPr>
        <w:t xml:space="preserve"> This most simple entity has the condition of many things, he explains, in the form of distinct roles or offices: “the same divine substance contains an absolute and relative genus, and the same divine substance performs the role and office of each.”</w:t>
      </w:r>
      <w:r>
        <w:rPr>
          <w:rFonts w:ascii="Times New Roman" w:eastAsia="Times New Roman" w:hAnsi="Times New Roman" w:cs="Times New Roman"/>
          <w:sz w:val="24"/>
          <w:szCs w:val="24"/>
          <w:vertAlign w:val="superscript"/>
        </w:rPr>
        <w:footnoteReference w:id="48"/>
      </w:r>
      <w:r>
        <w:rPr>
          <w:rFonts w:ascii="Times New Roman" w:eastAsia="Times New Roman" w:hAnsi="Times New Roman" w:cs="Times New Roman"/>
          <w:sz w:val="24"/>
          <w:szCs w:val="24"/>
        </w:rPr>
        <w:t xml:space="preserve">  So, God can play the role of something communicable and the role of something incommunicable.  As such, “this contradiction which is formed by saying that the essence is communicable but not the person only requires a diversity of role and office, not of beings, and that is sufficient.”</w:t>
      </w:r>
      <w:r>
        <w:rPr>
          <w:rFonts w:ascii="Times New Roman" w:eastAsia="Times New Roman" w:hAnsi="Times New Roman" w:cs="Times New Roman"/>
          <w:sz w:val="24"/>
          <w:szCs w:val="24"/>
          <w:vertAlign w:val="superscript"/>
        </w:rPr>
        <w:footnoteReference w:id="49"/>
      </w:r>
      <w:r>
        <w:rPr>
          <w:rFonts w:ascii="Times New Roman" w:eastAsia="Times New Roman" w:hAnsi="Times New Roman" w:cs="Times New Roman"/>
          <w:sz w:val="24"/>
          <w:szCs w:val="24"/>
        </w:rPr>
        <w:t xml:space="preserve"> These distinct roles or offices, then, can serve as the foundation for a reduplicative answer to the Achilles. The idea is that, due to its perfection, the one divine essence(/paternity) can do or be what in creatures would require real distinction: the roles or offices are perfections that, in creatures, cannot be borne by a single being. As such, the divine essence(/paternity) is communicable qua </w:t>
      </w:r>
      <w:r>
        <w:rPr>
          <w:rFonts w:ascii="Times New Roman" w:eastAsia="Times New Roman" w:hAnsi="Times New Roman" w:cs="Times New Roman"/>
          <w:i/>
          <w:sz w:val="24"/>
          <w:szCs w:val="24"/>
        </w:rPr>
        <w:t xml:space="preserve">this </w:t>
      </w:r>
      <w:r>
        <w:rPr>
          <w:rFonts w:ascii="Times New Roman" w:eastAsia="Times New Roman" w:hAnsi="Times New Roman" w:cs="Times New Roman"/>
          <w:sz w:val="24"/>
          <w:szCs w:val="24"/>
        </w:rPr>
        <w:t xml:space="preserve">role but not qua </w:t>
      </w:r>
      <w:r>
        <w:rPr>
          <w:rFonts w:ascii="Times New Roman" w:eastAsia="Times New Roman" w:hAnsi="Times New Roman" w:cs="Times New Roman"/>
          <w:i/>
          <w:sz w:val="24"/>
          <w:szCs w:val="24"/>
        </w:rPr>
        <w:t xml:space="preserve">that </w:t>
      </w:r>
      <w:r>
        <w:rPr>
          <w:rFonts w:ascii="Times New Roman" w:eastAsia="Times New Roman" w:hAnsi="Times New Roman" w:cs="Times New Roman"/>
          <w:sz w:val="24"/>
          <w:szCs w:val="24"/>
        </w:rPr>
        <w:t xml:space="preserve">role, and it is </w:t>
      </w:r>
      <w:proofErr w:type="spellStart"/>
      <w:r>
        <w:rPr>
          <w:rFonts w:ascii="Times New Roman" w:eastAsia="Times New Roman" w:hAnsi="Times New Roman" w:cs="Times New Roman"/>
          <w:sz w:val="24"/>
          <w:szCs w:val="24"/>
        </w:rPr>
        <w:t>incommunciable</w:t>
      </w:r>
      <w:proofErr w:type="spellEnd"/>
      <w:r>
        <w:rPr>
          <w:rFonts w:ascii="Times New Roman" w:eastAsia="Times New Roman" w:hAnsi="Times New Roman" w:cs="Times New Roman"/>
          <w:sz w:val="24"/>
          <w:szCs w:val="24"/>
        </w:rPr>
        <w:t xml:space="preserve"> qua </w:t>
      </w:r>
      <w:r>
        <w:rPr>
          <w:rFonts w:ascii="Times New Roman" w:eastAsia="Times New Roman" w:hAnsi="Times New Roman" w:cs="Times New Roman"/>
          <w:i/>
          <w:sz w:val="24"/>
          <w:szCs w:val="24"/>
        </w:rPr>
        <w:t xml:space="preserve">that </w:t>
      </w:r>
      <w:r>
        <w:rPr>
          <w:rFonts w:ascii="Times New Roman" w:eastAsia="Times New Roman" w:hAnsi="Times New Roman" w:cs="Times New Roman"/>
          <w:sz w:val="24"/>
          <w:szCs w:val="24"/>
        </w:rPr>
        <w:t xml:space="preserve">role but not </w:t>
      </w:r>
      <w:r>
        <w:rPr>
          <w:rFonts w:ascii="Times New Roman" w:eastAsia="Times New Roman" w:hAnsi="Times New Roman" w:cs="Times New Roman"/>
          <w:i/>
          <w:sz w:val="24"/>
          <w:szCs w:val="24"/>
        </w:rPr>
        <w:t xml:space="preserve">this </w:t>
      </w:r>
      <w:r>
        <w:rPr>
          <w:rFonts w:ascii="Times New Roman" w:eastAsia="Times New Roman" w:hAnsi="Times New Roman" w:cs="Times New Roman"/>
          <w:sz w:val="24"/>
          <w:szCs w:val="24"/>
        </w:rPr>
        <w:t xml:space="preserve">role. And John of St. Thomas thinks this is enough to dissolve the contradiction.  </w:t>
      </w:r>
    </w:p>
    <w:p w14:paraId="0000003B" w14:textId="77777777" w:rsidR="008D1538" w:rsidRDefault="00000000">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Gonet purports to deny premise 1, appealing to reduplication by way of the virtual distinction. In response to the derivation of premise 1 from the NCP, he grants that the propositions “it is verified of the divine essence that it is communicable” and “it is verified of the relation that it is incommunicable” are contradictory.</w:t>
      </w:r>
      <w:r>
        <w:rPr>
          <w:rFonts w:ascii="Times New Roman" w:eastAsia="Times New Roman" w:hAnsi="Times New Roman" w:cs="Times New Roman"/>
          <w:sz w:val="24"/>
          <w:szCs w:val="24"/>
          <w:vertAlign w:val="superscript"/>
        </w:rPr>
        <w:footnoteReference w:id="50"/>
      </w:r>
      <w:r>
        <w:rPr>
          <w:rFonts w:ascii="Times New Roman" w:eastAsia="Times New Roman" w:hAnsi="Times New Roman" w:cs="Times New Roman"/>
          <w:sz w:val="24"/>
          <w:szCs w:val="24"/>
        </w:rPr>
        <w:t xml:space="preserve">  He then explains:</w:t>
      </w:r>
      <w:r>
        <w:rPr>
          <w:rFonts w:ascii="Times New Roman" w:eastAsia="Times New Roman" w:hAnsi="Times New Roman" w:cs="Times New Roman"/>
          <w:sz w:val="24"/>
          <w:szCs w:val="24"/>
          <w:vertAlign w:val="superscript"/>
        </w:rPr>
        <w:footnoteReference w:id="51"/>
      </w:r>
    </w:p>
    <w:p w14:paraId="0000003C" w14:textId="77777777" w:rsidR="008D1538" w:rsidRDefault="00000000">
      <w:pPr>
        <w:spacing w:after="20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it does not suffice for a contradiction that opposites are predicated of the same thing, but it is required that they are predicated of the same thing under the same formal account [</w:t>
      </w:r>
      <w:r>
        <w:rPr>
          <w:rFonts w:ascii="Times New Roman" w:eastAsia="Times New Roman" w:hAnsi="Times New Roman" w:cs="Times New Roman"/>
          <w:i/>
          <w:sz w:val="24"/>
          <w:szCs w:val="24"/>
        </w:rPr>
        <w:t>ratio</w:t>
      </w:r>
      <w:r>
        <w:rPr>
          <w:rFonts w:ascii="Times New Roman" w:eastAsia="Times New Roman" w:hAnsi="Times New Roman" w:cs="Times New Roman"/>
          <w:sz w:val="24"/>
          <w:szCs w:val="24"/>
        </w:rPr>
        <w:t>] and virtual account [</w:t>
      </w:r>
      <w:r>
        <w:rPr>
          <w:rFonts w:ascii="Times New Roman" w:eastAsia="Times New Roman" w:hAnsi="Times New Roman" w:cs="Times New Roman"/>
          <w:i/>
          <w:sz w:val="24"/>
          <w:szCs w:val="24"/>
        </w:rPr>
        <w:t>ratio</w:t>
      </w:r>
      <w:r>
        <w:rPr>
          <w:rFonts w:ascii="Times New Roman" w:eastAsia="Times New Roman" w:hAnsi="Times New Roman" w:cs="Times New Roman"/>
          <w:sz w:val="24"/>
          <w:szCs w:val="24"/>
        </w:rPr>
        <w:t xml:space="preserve">], since contradictions, by witness of the Philosopher, are of the same, concerning the same, and according to the same: but communicability and incommunicability, producibility and </w:t>
      </w:r>
      <w:proofErr w:type="spellStart"/>
      <w:r>
        <w:rPr>
          <w:rFonts w:ascii="Times New Roman" w:eastAsia="Times New Roman" w:hAnsi="Times New Roman" w:cs="Times New Roman"/>
          <w:sz w:val="24"/>
          <w:szCs w:val="24"/>
        </w:rPr>
        <w:t>improducibility</w:t>
      </w:r>
      <w:proofErr w:type="spellEnd"/>
      <w:r>
        <w:rPr>
          <w:rFonts w:ascii="Times New Roman" w:eastAsia="Times New Roman" w:hAnsi="Times New Roman" w:cs="Times New Roman"/>
          <w:sz w:val="24"/>
          <w:szCs w:val="24"/>
        </w:rPr>
        <w:t xml:space="preserve"> are verified of the substance and divine entity according to diverse </w:t>
      </w:r>
      <w:r>
        <w:rPr>
          <w:rFonts w:ascii="Times New Roman" w:eastAsia="Times New Roman" w:hAnsi="Times New Roman" w:cs="Times New Roman"/>
          <w:i/>
          <w:sz w:val="24"/>
          <w:szCs w:val="24"/>
        </w:rPr>
        <w:t>rationes</w:t>
      </w:r>
      <w:r>
        <w:rPr>
          <w:rFonts w:ascii="Times New Roman" w:eastAsia="Times New Roman" w:hAnsi="Times New Roman" w:cs="Times New Roman"/>
          <w:sz w:val="24"/>
          <w:szCs w:val="24"/>
        </w:rPr>
        <w:t xml:space="preserve">, formalities, or equivalences: for as it is equivalent absolutely, it is communicable, and as it is equivalent relatively, it is </w:t>
      </w:r>
      <w:proofErr w:type="spellStart"/>
      <w:r>
        <w:rPr>
          <w:rFonts w:ascii="Times New Roman" w:eastAsia="Times New Roman" w:hAnsi="Times New Roman" w:cs="Times New Roman"/>
          <w:sz w:val="24"/>
          <w:szCs w:val="24"/>
        </w:rPr>
        <w:t>incommuncabile</w:t>
      </w:r>
      <w:proofErr w:type="spellEnd"/>
      <w:r>
        <w:rPr>
          <w:rFonts w:ascii="Times New Roman" w:eastAsia="Times New Roman" w:hAnsi="Times New Roman" w:cs="Times New Roman"/>
          <w:sz w:val="24"/>
          <w:szCs w:val="24"/>
        </w:rPr>
        <w:t>.</w:t>
      </w:r>
    </w:p>
    <w:p w14:paraId="0000003D" w14:textId="77777777" w:rsidR="008D1538" w:rsidRDefault="00000000">
      <w:pPr>
        <w:spacing w:after="200"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Thus</w:t>
      </w:r>
      <w:proofErr w:type="gramEnd"/>
      <w:r>
        <w:rPr>
          <w:rFonts w:ascii="Times New Roman" w:eastAsia="Times New Roman" w:hAnsi="Times New Roman" w:cs="Times New Roman"/>
          <w:sz w:val="24"/>
          <w:szCs w:val="24"/>
        </w:rPr>
        <w:t xml:space="preserve"> different </w:t>
      </w:r>
      <w:r>
        <w:rPr>
          <w:rFonts w:ascii="Times New Roman" w:eastAsia="Times New Roman" w:hAnsi="Times New Roman" w:cs="Times New Roman"/>
          <w:i/>
          <w:sz w:val="24"/>
          <w:szCs w:val="24"/>
        </w:rPr>
        <w:t xml:space="preserve">rationes </w:t>
      </w:r>
      <w:r>
        <w:rPr>
          <w:rFonts w:ascii="Times New Roman" w:eastAsia="Times New Roman" w:hAnsi="Times New Roman" w:cs="Times New Roman"/>
          <w:sz w:val="24"/>
          <w:szCs w:val="24"/>
        </w:rPr>
        <w:t>(or, what is the same, formalities or equivalences)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are present in one simple being: the divine nature as relative and as absolute. Reduplication comes out in the last line of the quotation: the divine entity is communicable qua absolute </w:t>
      </w:r>
      <w:r>
        <w:rPr>
          <w:rFonts w:ascii="Times New Roman" w:eastAsia="Times New Roman" w:hAnsi="Times New Roman" w:cs="Times New Roman"/>
          <w:i/>
          <w:sz w:val="24"/>
          <w:szCs w:val="24"/>
        </w:rPr>
        <w:t xml:space="preserve">ratio </w:t>
      </w:r>
      <w:r>
        <w:rPr>
          <w:rFonts w:ascii="Times New Roman" w:eastAsia="Times New Roman" w:hAnsi="Times New Roman" w:cs="Times New Roman"/>
          <w:sz w:val="24"/>
          <w:szCs w:val="24"/>
        </w:rPr>
        <w:t xml:space="preserve">and is incommunicable qua relative </w:t>
      </w:r>
      <w:r>
        <w:rPr>
          <w:rFonts w:ascii="Times New Roman" w:eastAsia="Times New Roman" w:hAnsi="Times New Roman" w:cs="Times New Roman"/>
          <w:i/>
          <w:sz w:val="24"/>
          <w:szCs w:val="24"/>
        </w:rPr>
        <w:t>ratio</w:t>
      </w:r>
      <w:r>
        <w:rPr>
          <w:rFonts w:ascii="Times New Roman" w:eastAsia="Times New Roman" w:hAnsi="Times New Roman" w:cs="Times New Roman"/>
          <w:sz w:val="24"/>
          <w:szCs w:val="24"/>
        </w:rPr>
        <w:t>. And this prior to any act of the intellect. Gonet claims that this is sufficient to dissolve the contradiction.</w:t>
      </w:r>
    </w:p>
    <w:p w14:paraId="0000003E" w14:textId="77777777" w:rsidR="008D1538" w:rsidRDefault="00000000">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either author, the virtual distinction allows the simple God, due to his perfection, to have multiple roles, offices, </w:t>
      </w:r>
      <w:r>
        <w:rPr>
          <w:rFonts w:ascii="Times New Roman" w:eastAsia="Times New Roman" w:hAnsi="Times New Roman" w:cs="Times New Roman"/>
          <w:i/>
          <w:sz w:val="24"/>
          <w:szCs w:val="24"/>
        </w:rPr>
        <w:t>rationes</w:t>
      </w:r>
      <w:r>
        <w:rPr>
          <w:rFonts w:ascii="Times New Roman" w:eastAsia="Times New Roman" w:hAnsi="Times New Roman" w:cs="Times New Roman"/>
          <w:sz w:val="24"/>
          <w:szCs w:val="24"/>
        </w:rPr>
        <w:t xml:space="preserve">, or aspects. These then facilitate reduplication: the simple divine entity is communicable qua one </w:t>
      </w:r>
      <w:r>
        <w:rPr>
          <w:rFonts w:ascii="Times New Roman" w:eastAsia="Times New Roman" w:hAnsi="Times New Roman" w:cs="Times New Roman"/>
          <w:i/>
          <w:sz w:val="24"/>
          <w:szCs w:val="24"/>
        </w:rPr>
        <w:t>ratio</w:t>
      </w:r>
      <w:r>
        <w:rPr>
          <w:rFonts w:ascii="Times New Roman" w:eastAsia="Times New Roman" w:hAnsi="Times New Roman" w:cs="Times New Roman"/>
          <w:sz w:val="24"/>
          <w:szCs w:val="24"/>
        </w:rPr>
        <w:t xml:space="preserve"> or aspect and incommunicable qua another, and this isn’t contradictory. On this view, to say that the essence and paternity are virtually distinct is to say that, even though the essence and paternity are identical, there are multiple roles or </w:t>
      </w:r>
      <w:r>
        <w:rPr>
          <w:rFonts w:ascii="Times New Roman" w:eastAsia="Times New Roman" w:hAnsi="Times New Roman" w:cs="Times New Roman"/>
          <w:i/>
          <w:sz w:val="24"/>
          <w:szCs w:val="24"/>
        </w:rPr>
        <w:t xml:space="preserve">rationes </w:t>
      </w:r>
      <w:r>
        <w:rPr>
          <w:rFonts w:ascii="Times New Roman" w:eastAsia="Times New Roman" w:hAnsi="Times New Roman" w:cs="Times New Roman"/>
          <w:sz w:val="24"/>
          <w:szCs w:val="24"/>
        </w:rPr>
        <w:t xml:space="preserve">present which the one simple entity can occupy. Playing one role, or under one </w:t>
      </w:r>
      <w:r>
        <w:rPr>
          <w:rFonts w:ascii="Times New Roman" w:eastAsia="Times New Roman" w:hAnsi="Times New Roman" w:cs="Times New Roman"/>
          <w:i/>
          <w:sz w:val="24"/>
          <w:szCs w:val="24"/>
        </w:rPr>
        <w:t>ratio</w:t>
      </w:r>
      <w:r>
        <w:rPr>
          <w:rFonts w:ascii="Times New Roman" w:eastAsia="Times New Roman" w:hAnsi="Times New Roman" w:cs="Times New Roman"/>
          <w:sz w:val="24"/>
          <w:szCs w:val="24"/>
        </w:rPr>
        <w:t>, this one divine essence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will be communicable; playing another role, or under another </w:t>
      </w:r>
      <w:r>
        <w:rPr>
          <w:rFonts w:ascii="Times New Roman" w:eastAsia="Times New Roman" w:hAnsi="Times New Roman" w:cs="Times New Roman"/>
          <w:i/>
          <w:sz w:val="24"/>
          <w:szCs w:val="24"/>
        </w:rPr>
        <w:t>ratio</w:t>
      </w:r>
      <w:r>
        <w:rPr>
          <w:rFonts w:ascii="Times New Roman" w:eastAsia="Times New Roman" w:hAnsi="Times New Roman" w:cs="Times New Roman"/>
          <w:sz w:val="24"/>
          <w:szCs w:val="24"/>
        </w:rPr>
        <w:t>, it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will be incommunicable.</w:t>
      </w:r>
      <w:r>
        <w:rPr>
          <w:rFonts w:ascii="Times New Roman" w:eastAsia="Times New Roman" w:hAnsi="Times New Roman" w:cs="Times New Roman"/>
          <w:sz w:val="24"/>
          <w:szCs w:val="24"/>
          <w:vertAlign w:val="superscript"/>
        </w:rPr>
        <w:footnoteReference w:id="52"/>
      </w:r>
    </w:p>
    <w:p w14:paraId="0000003F" w14:textId="77777777" w:rsidR="008D1538" w:rsidRDefault="00000000">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this, more common version of the reduplication strategy, our Thomists are merely changing the subject. Sure, one thing can be incommunicable qua A and communicable qua B without contradiction, prior to any act of the intellect. But that is not what premise 1 is about.  Premise 1 </w:t>
      </w:r>
      <w:r>
        <w:rPr>
          <w:rFonts w:ascii="Times New Roman" w:eastAsia="Times New Roman" w:hAnsi="Times New Roman" w:cs="Times New Roman"/>
          <w:sz w:val="24"/>
          <w:szCs w:val="24"/>
        </w:rPr>
        <w:lastRenderedPageBreak/>
        <w:t xml:space="preserve">says that something cannot be both communicable </w:t>
      </w:r>
      <w:r>
        <w:rPr>
          <w:rFonts w:ascii="Times New Roman" w:eastAsia="Times New Roman" w:hAnsi="Times New Roman" w:cs="Times New Roman"/>
          <w:i/>
          <w:sz w:val="24"/>
          <w:szCs w:val="24"/>
        </w:rPr>
        <w:t>simpliciter</w:t>
      </w:r>
      <w:r>
        <w:rPr>
          <w:rFonts w:ascii="Times New Roman" w:eastAsia="Times New Roman" w:hAnsi="Times New Roman" w:cs="Times New Roman"/>
          <w:sz w:val="24"/>
          <w:szCs w:val="24"/>
        </w:rPr>
        <w:t xml:space="preserve"> and incommunicable </w:t>
      </w:r>
      <w:r>
        <w:rPr>
          <w:rFonts w:ascii="Times New Roman" w:eastAsia="Times New Roman" w:hAnsi="Times New Roman" w:cs="Times New Roman"/>
          <w:i/>
          <w:sz w:val="24"/>
          <w:szCs w:val="24"/>
        </w:rPr>
        <w:t>simpliciter</w:t>
      </w:r>
      <w:r>
        <w:rPr>
          <w:rFonts w:ascii="Times New Roman" w:eastAsia="Times New Roman" w:hAnsi="Times New Roman" w:cs="Times New Roman"/>
          <w:sz w:val="24"/>
          <w:szCs w:val="24"/>
        </w:rPr>
        <w:t xml:space="preserve"> prior to any act of the intellect, without some distinction prior to any act of the intellect. If they are challenging some premise in an argument for the formal distinction, it is not the first premise of the Achilles. </w:t>
      </w:r>
    </w:p>
    <w:p w14:paraId="00000040" w14:textId="77777777" w:rsidR="008D1538" w:rsidRDefault="00000000">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Let us lay out the issue more cautiously, because it’s important. (In what follows, we omit the qualifier ‘prior to any act of the intellect’, which is implicit throughout.) We distinguish two conditionals, the relevant instance of premise 1 of the Achilles, and the qua-relativized version thereof:</w:t>
      </w:r>
    </w:p>
    <w:p w14:paraId="00000041" w14:textId="77777777" w:rsidR="008D1538" w:rsidRDefault="00000000">
      <w:pPr>
        <w:spacing w:after="20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C: If the divine essence is communicable and Paternity is incommunicable, then the divine essence and Paternity are distinct.</w:t>
      </w:r>
    </w:p>
    <w:p w14:paraId="00000042" w14:textId="77777777" w:rsidR="008D1538" w:rsidRDefault="00000000">
      <w:pPr>
        <w:spacing w:after="20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C*: If the divine essence is communicable qua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absolute </w:t>
      </w:r>
      <w:r>
        <w:rPr>
          <w:rFonts w:ascii="Times New Roman" w:eastAsia="Times New Roman" w:hAnsi="Times New Roman" w:cs="Times New Roman"/>
          <w:i/>
          <w:sz w:val="24"/>
          <w:szCs w:val="24"/>
        </w:rPr>
        <w:t>ratio</w:t>
      </w:r>
      <w:r>
        <w:rPr>
          <w:rFonts w:ascii="Times New Roman" w:eastAsia="Times New Roman" w:hAnsi="Times New Roman" w:cs="Times New Roman"/>
          <w:sz w:val="24"/>
          <w:szCs w:val="24"/>
        </w:rPr>
        <w:t xml:space="preserve"> (or role) and Paternity is incommunicable qua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relative </w:t>
      </w:r>
      <w:r>
        <w:rPr>
          <w:rFonts w:ascii="Times New Roman" w:eastAsia="Times New Roman" w:hAnsi="Times New Roman" w:cs="Times New Roman"/>
          <w:i/>
          <w:sz w:val="24"/>
          <w:szCs w:val="24"/>
        </w:rPr>
        <w:t>ratio</w:t>
      </w:r>
      <w:r>
        <w:rPr>
          <w:rFonts w:ascii="Times New Roman" w:eastAsia="Times New Roman" w:hAnsi="Times New Roman" w:cs="Times New Roman"/>
          <w:sz w:val="24"/>
          <w:szCs w:val="24"/>
        </w:rPr>
        <w:t xml:space="preserve"> (or role), then the divine essence and Paternity are distinct. </w:t>
      </w:r>
    </w:p>
    <w:p w14:paraId="00000043" w14:textId="77777777" w:rsidR="008D1538" w:rsidRDefault="00000000">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Even if all parties were to agree that C* is false, given the law of excluded middle (which good scholastics accept), the reduplication theorist still needs to contend with C. Is it, according to the reduplication theorist, true or false? If true, then the reduplication theorist has not </w:t>
      </w:r>
      <w:r>
        <w:rPr>
          <w:rFonts w:ascii="Times New Roman" w:eastAsia="Times New Roman" w:hAnsi="Times New Roman" w:cs="Times New Roman"/>
          <w:i/>
          <w:sz w:val="24"/>
          <w:szCs w:val="24"/>
        </w:rPr>
        <w:t xml:space="preserve">really </w:t>
      </w:r>
      <w:r>
        <w:rPr>
          <w:rFonts w:ascii="Times New Roman" w:eastAsia="Times New Roman" w:hAnsi="Times New Roman" w:cs="Times New Roman"/>
          <w:sz w:val="24"/>
          <w:szCs w:val="24"/>
        </w:rPr>
        <w:t xml:space="preserve">denied premise 1 of the Achilles; therefore, to avoid the conclusion they must deny premise 2. If false, recall that C is an instance of the original first premise of the Achilles, which follows from the no-contradiction principle. In other words, C comes out false only by violating the NCP, and thus countenancing true contradictions. Therefore, C is false only if there are true contradictions. Earlier we canvassed responses to the Achilles that denied premise 2, and in the following section we will consider responses to the Achilles that countenance true contradictions. The </w:t>
      </w:r>
      <w:r>
        <w:rPr>
          <w:rFonts w:ascii="Times New Roman" w:eastAsia="Times New Roman" w:hAnsi="Times New Roman" w:cs="Times New Roman"/>
          <w:sz w:val="24"/>
          <w:szCs w:val="24"/>
        </w:rPr>
        <w:lastRenderedPageBreak/>
        <w:t>important point here is that the reduplication strategy is not a third way of responding to the Achilles: if workable, it must collapse into one of the other two.</w:t>
      </w:r>
    </w:p>
    <w:p w14:paraId="00000044" w14:textId="77777777" w:rsidR="008D1538" w:rsidRDefault="00000000">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however, one viable attempt to salvage the reduplication strategy. Recall, in our derivation of the Achilles’s first premise from the NCP, we assumed that to be incommunicable just is to not be communicable; in other words, we </w:t>
      </w:r>
      <w:proofErr w:type="gramStart"/>
      <w:r>
        <w:rPr>
          <w:rFonts w:ascii="Times New Roman" w:eastAsia="Times New Roman" w:hAnsi="Times New Roman" w:cs="Times New Roman"/>
          <w:sz w:val="24"/>
          <w:szCs w:val="24"/>
        </w:rPr>
        <w:t>assumed  that</w:t>
      </w:r>
      <w:proofErr w:type="gramEnd"/>
      <w:r>
        <w:rPr>
          <w:rFonts w:ascii="Times New Roman" w:eastAsia="Times New Roman" w:hAnsi="Times New Roman" w:cs="Times New Roman"/>
          <w:sz w:val="24"/>
          <w:szCs w:val="24"/>
        </w:rPr>
        <w:t xml:space="preserve"> communicability and incommunicability are </w:t>
      </w:r>
      <w:r>
        <w:rPr>
          <w:rFonts w:ascii="Times New Roman" w:eastAsia="Times New Roman" w:hAnsi="Times New Roman" w:cs="Times New Roman"/>
          <w:i/>
          <w:sz w:val="24"/>
          <w:szCs w:val="24"/>
        </w:rPr>
        <w:t>contradictories</w:t>
      </w:r>
      <w:r>
        <w:rPr>
          <w:rFonts w:ascii="Times New Roman" w:eastAsia="Times New Roman" w:hAnsi="Times New Roman" w:cs="Times New Roman"/>
          <w:sz w:val="24"/>
          <w:szCs w:val="24"/>
        </w:rPr>
        <w:t xml:space="preserve">. This assumption we called the contradictoriness assumption; the CA is violated in at least one scholastic treatment of the Achilles. </w:t>
      </w:r>
    </w:p>
    <w:p w14:paraId="00000045" w14:textId="77777777" w:rsidR="008D1538" w:rsidRDefault="00000000">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collective of 17th-century commentators on Aquinas’s </w:t>
      </w:r>
      <w:r>
        <w:rPr>
          <w:rFonts w:ascii="Times New Roman" w:eastAsia="Times New Roman" w:hAnsi="Times New Roman" w:cs="Times New Roman"/>
          <w:i/>
          <w:sz w:val="24"/>
          <w:szCs w:val="24"/>
        </w:rPr>
        <w:t>Summa</w:t>
      </w:r>
      <w:r>
        <w:rPr>
          <w:rFonts w:ascii="Times New Roman" w:eastAsia="Times New Roman" w:hAnsi="Times New Roman" w:cs="Times New Roman"/>
          <w:sz w:val="24"/>
          <w:szCs w:val="24"/>
        </w:rPr>
        <w:t xml:space="preserve"> known as the </w:t>
      </w:r>
      <w:proofErr w:type="spellStart"/>
      <w:r>
        <w:rPr>
          <w:rFonts w:ascii="Times New Roman" w:eastAsia="Times New Roman" w:hAnsi="Times New Roman" w:cs="Times New Roman"/>
          <w:sz w:val="24"/>
          <w:szCs w:val="24"/>
        </w:rPr>
        <w:t>Salmanticenses</w:t>
      </w:r>
      <w:proofErr w:type="spellEnd"/>
      <w:r>
        <w:rPr>
          <w:rFonts w:ascii="Times New Roman" w:eastAsia="Times New Roman" w:hAnsi="Times New Roman" w:cs="Times New Roman"/>
          <w:sz w:val="24"/>
          <w:szCs w:val="24"/>
        </w:rPr>
        <w:t xml:space="preserve"> offers the following, explicit rejection of the CA:</w:t>
      </w:r>
    </w:p>
    <w:p w14:paraId="00000046" w14:textId="77777777" w:rsidR="008D1538" w:rsidRDefault="00000000">
      <w:pPr>
        <w:spacing w:before="20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In God it will not be valid to infer that concerning the formality of the essence and relation it is verified that it is not the case that it is communicable from the fact that it is incommunicable.</w:t>
      </w:r>
      <w:r>
        <w:rPr>
          <w:rFonts w:ascii="Times New Roman" w:eastAsia="Times New Roman" w:hAnsi="Times New Roman" w:cs="Times New Roman"/>
          <w:sz w:val="24"/>
          <w:szCs w:val="24"/>
          <w:vertAlign w:val="superscript"/>
        </w:rPr>
        <w:footnoteReference w:id="53"/>
      </w:r>
    </w:p>
    <w:p w14:paraId="00000047" w14:textId="77777777" w:rsidR="008D1538" w:rsidRDefault="00000000">
      <w:pPr>
        <w:spacing w:before="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Without the CA, there is now no obvious route from the NCP to the first premise; conversely, one may reject the first premise of the Achilles without any obvious threat of outright inconsistency. But this alone is not yet a satisfactory route to answering the Achilles; without further explanation, simply denying the contradictoriness of communicability and incommunicability is an </w:t>
      </w:r>
      <w:r>
        <w:rPr>
          <w:rFonts w:ascii="Times New Roman" w:eastAsia="Times New Roman" w:hAnsi="Times New Roman" w:cs="Times New Roman"/>
          <w:i/>
          <w:sz w:val="24"/>
          <w:szCs w:val="24"/>
        </w:rPr>
        <w:t>ad hoc</w:t>
      </w:r>
      <w:r>
        <w:rPr>
          <w:rFonts w:ascii="Times New Roman" w:eastAsia="Times New Roman" w:hAnsi="Times New Roman" w:cs="Times New Roman"/>
          <w:sz w:val="24"/>
          <w:szCs w:val="24"/>
        </w:rPr>
        <w:t xml:space="preserve"> maneuver. This is where reduplication re-enters the story. The </w:t>
      </w:r>
      <w:proofErr w:type="spellStart"/>
      <w:r>
        <w:rPr>
          <w:rFonts w:ascii="Times New Roman" w:eastAsia="Times New Roman" w:hAnsi="Times New Roman" w:cs="Times New Roman"/>
          <w:sz w:val="24"/>
          <w:szCs w:val="24"/>
        </w:rPr>
        <w:t>Salmanticenses</w:t>
      </w:r>
      <w:proofErr w:type="spellEnd"/>
      <w:r>
        <w:rPr>
          <w:rFonts w:ascii="Times New Roman" w:eastAsia="Times New Roman" w:hAnsi="Times New Roman" w:cs="Times New Roman"/>
          <w:sz w:val="24"/>
          <w:szCs w:val="24"/>
        </w:rPr>
        <w:t xml:space="preserve"> explain (putative) failures of the CA by embracing what we call </w:t>
      </w:r>
      <w:r>
        <w:rPr>
          <w:rFonts w:ascii="Times New Roman" w:eastAsia="Times New Roman" w:hAnsi="Times New Roman" w:cs="Times New Roman"/>
          <w:i/>
          <w:sz w:val="24"/>
          <w:szCs w:val="24"/>
        </w:rPr>
        <w:t xml:space="preserve">radical </w:t>
      </w:r>
      <w:proofErr w:type="spellStart"/>
      <w:r>
        <w:rPr>
          <w:rFonts w:ascii="Times New Roman" w:eastAsia="Times New Roman" w:hAnsi="Times New Roman" w:cs="Times New Roman"/>
          <w:i/>
          <w:sz w:val="24"/>
          <w:szCs w:val="24"/>
        </w:rPr>
        <w:t>reduplicationism</w:t>
      </w:r>
      <w:proofErr w:type="spellEnd"/>
      <w:r>
        <w:rPr>
          <w:rFonts w:ascii="Times New Roman" w:eastAsia="Times New Roman" w:hAnsi="Times New Roman" w:cs="Times New Roman"/>
          <w:sz w:val="24"/>
          <w:szCs w:val="24"/>
        </w:rPr>
        <w:t xml:space="preserve">. </w:t>
      </w:r>
    </w:p>
    <w:p w14:paraId="00000048" w14:textId="77777777" w:rsidR="008D1538" w:rsidRDefault="00000000">
      <w:pPr>
        <w:spacing w:before="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Taking truth-according-to-a-</w:t>
      </w:r>
      <w:r>
        <w:rPr>
          <w:rFonts w:ascii="Times New Roman" w:eastAsia="Times New Roman" w:hAnsi="Times New Roman" w:cs="Times New Roman"/>
          <w:i/>
          <w:sz w:val="24"/>
          <w:szCs w:val="24"/>
        </w:rPr>
        <w:t>ratio</w:t>
      </w:r>
      <w:r>
        <w:rPr>
          <w:rFonts w:ascii="Times New Roman" w:eastAsia="Times New Roman" w:hAnsi="Times New Roman" w:cs="Times New Roman"/>
          <w:sz w:val="24"/>
          <w:szCs w:val="24"/>
        </w:rPr>
        <w:t xml:space="preserve"> as our paradigm of reduplication, the hallmark of radical </w:t>
      </w:r>
      <w:proofErr w:type="spellStart"/>
      <w:r>
        <w:rPr>
          <w:rFonts w:ascii="Times New Roman" w:eastAsia="Times New Roman" w:hAnsi="Times New Roman" w:cs="Times New Roman"/>
          <w:sz w:val="24"/>
          <w:szCs w:val="24"/>
        </w:rPr>
        <w:t>reduplicationism</w:t>
      </w:r>
      <w:proofErr w:type="spellEnd"/>
      <w:r>
        <w:rPr>
          <w:rFonts w:ascii="Times New Roman" w:eastAsia="Times New Roman" w:hAnsi="Times New Roman" w:cs="Times New Roman"/>
          <w:sz w:val="24"/>
          <w:szCs w:val="24"/>
        </w:rPr>
        <w:t xml:space="preserve"> is equating how things are </w:t>
      </w:r>
      <w:r>
        <w:rPr>
          <w:rFonts w:ascii="Times New Roman" w:eastAsia="Times New Roman" w:hAnsi="Times New Roman" w:cs="Times New Roman"/>
          <w:i/>
          <w:sz w:val="24"/>
          <w:szCs w:val="24"/>
        </w:rPr>
        <w:t xml:space="preserve">simpliciter </w:t>
      </w:r>
      <w:r>
        <w:rPr>
          <w:rFonts w:ascii="Times New Roman" w:eastAsia="Times New Roman" w:hAnsi="Times New Roman" w:cs="Times New Roman"/>
          <w:sz w:val="24"/>
          <w:szCs w:val="24"/>
        </w:rPr>
        <w:t xml:space="preserve">and how things are according to some </w:t>
      </w:r>
      <w:r>
        <w:rPr>
          <w:rFonts w:ascii="Times New Roman" w:eastAsia="Times New Roman" w:hAnsi="Times New Roman" w:cs="Times New Roman"/>
          <w:i/>
          <w:sz w:val="24"/>
          <w:szCs w:val="24"/>
        </w:rPr>
        <w:t xml:space="preserve">ratio </w:t>
      </w:r>
      <w:r>
        <w:rPr>
          <w:rFonts w:ascii="Times New Roman" w:eastAsia="Times New Roman" w:hAnsi="Times New Roman" w:cs="Times New Roman"/>
          <w:sz w:val="24"/>
          <w:szCs w:val="24"/>
        </w:rPr>
        <w:t>as a matter of real definition.</w:t>
      </w:r>
      <w:r>
        <w:rPr>
          <w:rFonts w:ascii="Times New Roman" w:eastAsia="Times New Roman" w:hAnsi="Times New Roman" w:cs="Times New Roman"/>
          <w:sz w:val="24"/>
          <w:szCs w:val="24"/>
          <w:vertAlign w:val="superscript"/>
        </w:rPr>
        <w:footnoteReference w:id="54"/>
      </w:r>
      <w:r>
        <w:rPr>
          <w:rFonts w:ascii="Times New Roman" w:eastAsia="Times New Roman" w:hAnsi="Times New Roman" w:cs="Times New Roman"/>
          <w:sz w:val="24"/>
          <w:szCs w:val="24"/>
        </w:rPr>
        <w:t xml:space="preserve"> In this context, the radical </w:t>
      </w:r>
      <w:proofErr w:type="spellStart"/>
      <w:r>
        <w:rPr>
          <w:rFonts w:ascii="Times New Roman" w:eastAsia="Times New Roman" w:hAnsi="Times New Roman" w:cs="Times New Roman"/>
          <w:sz w:val="24"/>
          <w:szCs w:val="24"/>
        </w:rPr>
        <w:t>reduplicationist</w:t>
      </w:r>
      <w:proofErr w:type="spellEnd"/>
      <w:r>
        <w:rPr>
          <w:rFonts w:ascii="Times New Roman" w:eastAsia="Times New Roman" w:hAnsi="Times New Roman" w:cs="Times New Roman"/>
          <w:sz w:val="24"/>
          <w:szCs w:val="24"/>
        </w:rPr>
        <w:t xml:space="preserve"> says that for x to be communicable </w:t>
      </w:r>
      <w:r>
        <w:rPr>
          <w:rFonts w:ascii="Times New Roman" w:eastAsia="Times New Roman" w:hAnsi="Times New Roman" w:cs="Times New Roman"/>
          <w:i/>
          <w:sz w:val="24"/>
          <w:szCs w:val="24"/>
        </w:rPr>
        <w:t>just is</w:t>
      </w:r>
      <w:r>
        <w:rPr>
          <w:rFonts w:ascii="Times New Roman" w:eastAsia="Times New Roman" w:hAnsi="Times New Roman" w:cs="Times New Roman"/>
          <w:sz w:val="24"/>
          <w:szCs w:val="24"/>
        </w:rPr>
        <w:t xml:space="preserve"> for x to be communicable according to some</w:t>
      </w:r>
      <w:r>
        <w:rPr>
          <w:rFonts w:ascii="Times New Roman" w:eastAsia="Times New Roman" w:hAnsi="Times New Roman" w:cs="Times New Roman"/>
          <w:i/>
          <w:sz w:val="24"/>
          <w:szCs w:val="24"/>
        </w:rPr>
        <w:t xml:space="preserve"> ratio</w:t>
      </w:r>
      <w:r>
        <w:rPr>
          <w:rFonts w:ascii="Times New Roman" w:eastAsia="Times New Roman" w:hAnsi="Times New Roman" w:cs="Times New Roman"/>
          <w:sz w:val="24"/>
          <w:szCs w:val="24"/>
        </w:rPr>
        <w:t xml:space="preserve">, and for x to be incommunicable </w:t>
      </w:r>
      <w:r>
        <w:rPr>
          <w:rFonts w:ascii="Times New Roman" w:eastAsia="Times New Roman" w:hAnsi="Times New Roman" w:cs="Times New Roman"/>
          <w:i/>
          <w:sz w:val="24"/>
          <w:szCs w:val="24"/>
        </w:rPr>
        <w:t>just is</w:t>
      </w:r>
      <w:r>
        <w:rPr>
          <w:rFonts w:ascii="Times New Roman" w:eastAsia="Times New Roman" w:hAnsi="Times New Roman" w:cs="Times New Roman"/>
          <w:sz w:val="24"/>
          <w:szCs w:val="24"/>
        </w:rPr>
        <w:t xml:space="preserve"> for x not to be communicable according to some </w:t>
      </w:r>
      <w:r>
        <w:rPr>
          <w:rFonts w:ascii="Times New Roman" w:eastAsia="Times New Roman" w:hAnsi="Times New Roman" w:cs="Times New Roman"/>
          <w:i/>
          <w:sz w:val="24"/>
          <w:szCs w:val="24"/>
        </w:rPr>
        <w:t>ratio</w:t>
      </w:r>
      <w:r>
        <w:rPr>
          <w:rFonts w:ascii="Times New Roman" w:eastAsia="Times New Roman" w:hAnsi="Times New Roman" w:cs="Times New Roman"/>
          <w:sz w:val="24"/>
          <w:szCs w:val="24"/>
        </w:rPr>
        <w:t>. More carefully:</w:t>
      </w:r>
    </w:p>
    <w:p w14:paraId="00000049" w14:textId="77777777" w:rsidR="008D1538" w:rsidRDefault="00000000">
      <w:pPr>
        <w:spacing w:before="20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Def 1: x is communicable =</w:t>
      </w:r>
      <w:proofErr w:type="spellStart"/>
      <w:r>
        <w:rPr>
          <w:rFonts w:ascii="Times New Roman" w:eastAsia="Times New Roman" w:hAnsi="Times New Roman" w:cs="Times New Roman"/>
          <w:sz w:val="24"/>
          <w:szCs w:val="24"/>
        </w:rPr>
        <w:t>df</w:t>
      </w:r>
      <w:proofErr w:type="spellEnd"/>
      <w:r>
        <w:rPr>
          <w:rFonts w:ascii="Times New Roman" w:eastAsia="Times New Roman" w:hAnsi="Times New Roman" w:cs="Times New Roman"/>
          <w:sz w:val="24"/>
          <w:szCs w:val="24"/>
        </w:rPr>
        <w:t xml:space="preserve"> for some </w:t>
      </w:r>
      <w:r>
        <w:rPr>
          <w:rFonts w:ascii="Times New Roman" w:eastAsia="Times New Roman" w:hAnsi="Times New Roman" w:cs="Times New Roman"/>
          <w:i/>
          <w:sz w:val="24"/>
          <w:szCs w:val="24"/>
        </w:rPr>
        <w:t>ratio</w:t>
      </w:r>
      <w:r>
        <w:rPr>
          <w:rFonts w:ascii="Times New Roman" w:eastAsia="Times New Roman" w:hAnsi="Times New Roman" w:cs="Times New Roman"/>
          <w:sz w:val="24"/>
          <w:szCs w:val="24"/>
        </w:rPr>
        <w:t xml:space="preserve"> y, x is communicable according to </w:t>
      </w:r>
      <w:proofErr w:type="gramStart"/>
      <w:r>
        <w:rPr>
          <w:rFonts w:ascii="Times New Roman" w:eastAsia="Times New Roman" w:hAnsi="Times New Roman" w:cs="Times New Roman"/>
          <w:sz w:val="24"/>
          <w:szCs w:val="24"/>
        </w:rPr>
        <w:t>y;</w:t>
      </w:r>
      <w:proofErr w:type="gramEnd"/>
    </w:p>
    <w:p w14:paraId="0000004A" w14:textId="77777777" w:rsidR="008D1538" w:rsidRDefault="00000000">
      <w:pPr>
        <w:spacing w:before="20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Def 2: x is incommunicable =</w:t>
      </w:r>
      <w:proofErr w:type="spellStart"/>
      <w:r>
        <w:rPr>
          <w:rFonts w:ascii="Times New Roman" w:eastAsia="Times New Roman" w:hAnsi="Times New Roman" w:cs="Times New Roman"/>
          <w:sz w:val="24"/>
          <w:szCs w:val="24"/>
        </w:rPr>
        <w:t>df</w:t>
      </w:r>
      <w:proofErr w:type="spellEnd"/>
      <w:r>
        <w:rPr>
          <w:rFonts w:ascii="Times New Roman" w:eastAsia="Times New Roman" w:hAnsi="Times New Roman" w:cs="Times New Roman"/>
          <w:sz w:val="24"/>
          <w:szCs w:val="24"/>
        </w:rPr>
        <w:t xml:space="preserve"> for some </w:t>
      </w:r>
      <w:r>
        <w:rPr>
          <w:rFonts w:ascii="Times New Roman" w:eastAsia="Times New Roman" w:hAnsi="Times New Roman" w:cs="Times New Roman"/>
          <w:i/>
          <w:sz w:val="24"/>
          <w:szCs w:val="24"/>
        </w:rPr>
        <w:t xml:space="preserve">ratio </w:t>
      </w:r>
      <w:r>
        <w:rPr>
          <w:rFonts w:ascii="Times New Roman" w:eastAsia="Times New Roman" w:hAnsi="Times New Roman" w:cs="Times New Roman"/>
          <w:sz w:val="24"/>
          <w:szCs w:val="24"/>
        </w:rPr>
        <w:t>y, x is not communicable according to y.</w:t>
      </w:r>
      <w:r>
        <w:rPr>
          <w:rFonts w:ascii="Times New Roman" w:eastAsia="Times New Roman" w:hAnsi="Times New Roman" w:cs="Times New Roman"/>
          <w:sz w:val="24"/>
          <w:szCs w:val="24"/>
          <w:vertAlign w:val="superscript"/>
        </w:rPr>
        <w:footnoteReference w:id="55"/>
      </w:r>
      <w:r>
        <w:rPr>
          <w:rFonts w:ascii="Times New Roman" w:eastAsia="Times New Roman" w:hAnsi="Times New Roman" w:cs="Times New Roman"/>
          <w:sz w:val="24"/>
          <w:szCs w:val="24"/>
        </w:rPr>
        <w:t xml:space="preserve"> </w:t>
      </w:r>
    </w:p>
    <w:p w14:paraId="0000004B" w14:textId="77777777" w:rsidR="008D1538" w:rsidRDefault="00000000">
      <w:pPr>
        <w:spacing w:before="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Given this, the first premise becomes:</w:t>
      </w:r>
    </w:p>
    <w:p w14:paraId="0000004C" w14:textId="77777777" w:rsidR="008D1538" w:rsidRDefault="00000000">
      <w:pPr>
        <w:numPr>
          <w:ilvl w:val="0"/>
          <w:numId w:val="9"/>
        </w:numPr>
        <w:spacing w:before="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w:t>
      </w:r>
      <w:r>
        <w:rPr>
          <w:rFonts w:ascii="Times New Roman" w:eastAsia="Times New Roman" w:hAnsi="Times New Roman" w:cs="Times New Roman"/>
          <w:i/>
          <w:sz w:val="24"/>
          <w:szCs w:val="24"/>
        </w:rPr>
        <w:t>prior to any act of the intellect</w:t>
      </w:r>
      <w:r>
        <w:rPr>
          <w:rFonts w:ascii="Times New Roman" w:eastAsia="Times New Roman" w:hAnsi="Times New Roman" w:cs="Times New Roman"/>
          <w:sz w:val="24"/>
          <w:szCs w:val="24"/>
        </w:rPr>
        <w:t xml:space="preserve">, there is a </w:t>
      </w:r>
      <w:r>
        <w:rPr>
          <w:rFonts w:ascii="Times New Roman" w:eastAsia="Times New Roman" w:hAnsi="Times New Roman" w:cs="Times New Roman"/>
          <w:i/>
          <w:sz w:val="24"/>
          <w:szCs w:val="24"/>
        </w:rPr>
        <w:t xml:space="preserve">ratio </w:t>
      </w:r>
      <w:r>
        <w:rPr>
          <w:rFonts w:ascii="Times New Roman" w:eastAsia="Times New Roman" w:hAnsi="Times New Roman" w:cs="Times New Roman"/>
          <w:sz w:val="24"/>
          <w:szCs w:val="24"/>
        </w:rPr>
        <w:t xml:space="preserve">z such that x is communicable according to z and there is a </w:t>
      </w:r>
      <w:r>
        <w:rPr>
          <w:rFonts w:ascii="Times New Roman" w:eastAsia="Times New Roman" w:hAnsi="Times New Roman" w:cs="Times New Roman"/>
          <w:i/>
          <w:sz w:val="24"/>
          <w:szCs w:val="24"/>
        </w:rPr>
        <w:t xml:space="preserve">ratio </w:t>
      </w:r>
      <w:r>
        <w:rPr>
          <w:rFonts w:ascii="Times New Roman" w:eastAsia="Times New Roman" w:hAnsi="Times New Roman" w:cs="Times New Roman"/>
          <w:sz w:val="24"/>
          <w:szCs w:val="24"/>
        </w:rPr>
        <w:t xml:space="preserve">w such that y is not communicable according to w, then x and y are distinct </w:t>
      </w:r>
      <w:r>
        <w:rPr>
          <w:rFonts w:ascii="Times New Roman" w:eastAsia="Times New Roman" w:hAnsi="Times New Roman" w:cs="Times New Roman"/>
          <w:i/>
          <w:sz w:val="24"/>
          <w:szCs w:val="24"/>
        </w:rPr>
        <w:t>prior to any act of the intellect</w:t>
      </w:r>
      <w:r>
        <w:rPr>
          <w:rFonts w:ascii="Times New Roman" w:eastAsia="Times New Roman" w:hAnsi="Times New Roman" w:cs="Times New Roman"/>
          <w:sz w:val="24"/>
          <w:szCs w:val="24"/>
        </w:rPr>
        <w:t>.</w:t>
      </w:r>
    </w:p>
    <w:p w14:paraId="0000004D" w14:textId="77777777" w:rsidR="008D1538" w:rsidRDefault="00000000">
      <w:pPr>
        <w:spacing w:before="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Here there is no attempt here to </w:t>
      </w:r>
      <w:r>
        <w:rPr>
          <w:rFonts w:ascii="Times New Roman" w:eastAsia="Times New Roman" w:hAnsi="Times New Roman" w:cs="Times New Roman"/>
          <w:i/>
          <w:sz w:val="24"/>
          <w:szCs w:val="24"/>
        </w:rPr>
        <w:t>replace</w:t>
      </w:r>
      <w:r>
        <w:rPr>
          <w:rFonts w:ascii="Times New Roman" w:eastAsia="Times New Roman" w:hAnsi="Times New Roman" w:cs="Times New Roman"/>
          <w:sz w:val="24"/>
          <w:szCs w:val="24"/>
        </w:rPr>
        <w:t xml:space="preserve"> the first premise of the Achilles argument with some reduplication-theoretic alternative. No; on the view under consideration, this is just what the first premise </w:t>
      </w:r>
      <w:r>
        <w:rPr>
          <w:rFonts w:ascii="Times New Roman" w:eastAsia="Times New Roman" w:hAnsi="Times New Roman" w:cs="Times New Roman"/>
          <w:i/>
          <w:sz w:val="24"/>
          <w:szCs w:val="24"/>
        </w:rPr>
        <w:t>is</w:t>
      </w:r>
      <w:r>
        <w:rPr>
          <w:rFonts w:ascii="Times New Roman" w:eastAsia="Times New Roman" w:hAnsi="Times New Roman" w:cs="Times New Roman"/>
          <w:sz w:val="24"/>
          <w:szCs w:val="24"/>
        </w:rPr>
        <w:t xml:space="preserve">, and reduplication simply results from the substitution of real </w:t>
      </w:r>
      <w:r>
        <w:rPr>
          <w:rFonts w:ascii="Times New Roman" w:eastAsia="Times New Roman" w:hAnsi="Times New Roman" w:cs="Times New Roman"/>
          <w:i/>
          <w:sz w:val="24"/>
          <w:szCs w:val="24"/>
        </w:rPr>
        <w:t>definientia</w:t>
      </w:r>
      <w:r>
        <w:rPr>
          <w:rFonts w:ascii="Times New Roman" w:eastAsia="Times New Roman" w:hAnsi="Times New Roman" w:cs="Times New Roman"/>
          <w:sz w:val="24"/>
          <w:szCs w:val="24"/>
        </w:rPr>
        <w:t xml:space="preserve"> for their </w:t>
      </w:r>
      <w:proofErr w:type="spellStart"/>
      <w:r>
        <w:rPr>
          <w:rFonts w:ascii="Times New Roman" w:eastAsia="Times New Roman" w:hAnsi="Times New Roman" w:cs="Times New Roman"/>
          <w:i/>
          <w:sz w:val="24"/>
          <w:szCs w:val="24"/>
        </w:rPr>
        <w:t>definienda</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56"/>
      </w:r>
      <w:r>
        <w:rPr>
          <w:rFonts w:ascii="Times New Roman" w:eastAsia="Times New Roman" w:hAnsi="Times New Roman" w:cs="Times New Roman"/>
          <w:sz w:val="24"/>
          <w:szCs w:val="24"/>
        </w:rPr>
        <w:t xml:space="preserve"> And, as promised, the first premise of the Achilles can now be denied without any obvious conflict with the NCP. The first premise of the Achilles, once again, is an instance of the NCP only if to be incommunicable just is to not be communicable. This is no longer plausible, </w:t>
      </w:r>
      <w:r>
        <w:rPr>
          <w:rFonts w:ascii="Times New Roman" w:eastAsia="Times New Roman" w:hAnsi="Times New Roman" w:cs="Times New Roman"/>
          <w:sz w:val="24"/>
          <w:szCs w:val="24"/>
        </w:rPr>
        <w:lastRenderedPageBreak/>
        <w:t xml:space="preserve">given the definitions above. Given Def 2, for x to be incommunicable is for x to not be communicable according to some </w:t>
      </w:r>
      <w:r>
        <w:rPr>
          <w:rFonts w:ascii="Times New Roman" w:eastAsia="Times New Roman" w:hAnsi="Times New Roman" w:cs="Times New Roman"/>
          <w:i/>
          <w:sz w:val="24"/>
          <w:szCs w:val="24"/>
        </w:rPr>
        <w:t>ratio</w:t>
      </w:r>
      <w:r>
        <w:rPr>
          <w:rFonts w:ascii="Times New Roman" w:eastAsia="Times New Roman" w:hAnsi="Times New Roman" w:cs="Times New Roman"/>
          <w:sz w:val="24"/>
          <w:szCs w:val="24"/>
        </w:rPr>
        <w:t xml:space="preserve">, and given Def 1 for x to not be communicable is for x not to be communicable according to any </w:t>
      </w:r>
      <w:r>
        <w:rPr>
          <w:rFonts w:ascii="Times New Roman" w:eastAsia="Times New Roman" w:hAnsi="Times New Roman" w:cs="Times New Roman"/>
          <w:i/>
          <w:sz w:val="24"/>
          <w:szCs w:val="24"/>
        </w:rPr>
        <w:t xml:space="preserve">ratio </w:t>
      </w:r>
      <w:r>
        <w:rPr>
          <w:rFonts w:ascii="Times New Roman" w:eastAsia="Times New Roman" w:hAnsi="Times New Roman" w:cs="Times New Roman"/>
          <w:sz w:val="24"/>
          <w:szCs w:val="24"/>
        </w:rPr>
        <w:t xml:space="preserve">whatsoever. Clearly the one is not the other; any case where something is communicable according to some </w:t>
      </w:r>
      <w:r>
        <w:rPr>
          <w:rFonts w:ascii="Times New Roman" w:eastAsia="Times New Roman" w:hAnsi="Times New Roman" w:cs="Times New Roman"/>
          <w:i/>
          <w:sz w:val="24"/>
          <w:szCs w:val="24"/>
        </w:rPr>
        <w:t xml:space="preserve">ratio </w:t>
      </w:r>
      <w:r>
        <w:rPr>
          <w:rFonts w:ascii="Times New Roman" w:eastAsia="Times New Roman" w:hAnsi="Times New Roman" w:cs="Times New Roman"/>
          <w:sz w:val="24"/>
          <w:szCs w:val="24"/>
        </w:rPr>
        <w:t xml:space="preserve">but not communicable according to another will be a counterexample. </w:t>
      </w:r>
    </w:p>
    <w:p w14:paraId="0000004E" w14:textId="77777777" w:rsidR="008D1538" w:rsidRDefault="00000000">
      <w:pPr>
        <w:spacing w:before="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Salmanticenses</w:t>
      </w:r>
      <w:proofErr w:type="spellEnd"/>
      <w:r>
        <w:rPr>
          <w:rFonts w:ascii="Times New Roman" w:eastAsia="Times New Roman" w:hAnsi="Times New Roman" w:cs="Times New Roman"/>
          <w:sz w:val="24"/>
          <w:szCs w:val="24"/>
        </w:rPr>
        <w:t xml:space="preserve"> underwrite their rejection of the CA in just this way, embracing radical </w:t>
      </w:r>
      <w:proofErr w:type="spellStart"/>
      <w:r>
        <w:rPr>
          <w:rFonts w:ascii="Times New Roman" w:eastAsia="Times New Roman" w:hAnsi="Times New Roman" w:cs="Times New Roman"/>
          <w:sz w:val="24"/>
          <w:szCs w:val="24"/>
        </w:rPr>
        <w:t>reduplicationism</w:t>
      </w:r>
      <w:proofErr w:type="spellEnd"/>
      <w:r>
        <w:rPr>
          <w:rFonts w:ascii="Times New Roman" w:eastAsia="Times New Roman" w:hAnsi="Times New Roman" w:cs="Times New Roman"/>
          <w:sz w:val="24"/>
          <w:szCs w:val="24"/>
        </w:rPr>
        <w:t xml:space="preserve">. They consider the following objection, which embodies a version of the contradictoriness assumption: whatever is communicable and incommunicable is and is not communicable–a contradiction–and so the divine essence(/paternity) cannot be communicable and </w:t>
      </w:r>
      <w:proofErr w:type="spellStart"/>
      <w:proofErr w:type="gramStart"/>
      <w:r>
        <w:rPr>
          <w:rFonts w:ascii="Times New Roman" w:eastAsia="Times New Roman" w:hAnsi="Times New Roman" w:cs="Times New Roman"/>
          <w:sz w:val="24"/>
          <w:szCs w:val="24"/>
        </w:rPr>
        <w:t>incommunicable.They</w:t>
      </w:r>
      <w:proofErr w:type="spellEnd"/>
      <w:proofErr w:type="gramEnd"/>
      <w:r>
        <w:rPr>
          <w:rFonts w:ascii="Times New Roman" w:eastAsia="Times New Roman" w:hAnsi="Times New Roman" w:cs="Times New Roman"/>
          <w:sz w:val="24"/>
          <w:szCs w:val="24"/>
        </w:rPr>
        <w:t xml:space="preserve"> respond as follows (here, ‘this formality of the divine essence and relation’ simply refers to the divine essence(/paternity)):</w:t>
      </w:r>
      <w:r>
        <w:rPr>
          <w:rFonts w:ascii="Times New Roman" w:eastAsia="Times New Roman" w:hAnsi="Times New Roman" w:cs="Times New Roman"/>
          <w:sz w:val="24"/>
          <w:szCs w:val="24"/>
          <w:vertAlign w:val="superscript"/>
        </w:rPr>
        <w:footnoteReference w:id="57"/>
      </w:r>
    </w:p>
    <w:p w14:paraId="0000004F" w14:textId="77777777" w:rsidR="008D1538" w:rsidRDefault="00000000">
      <w:pPr>
        <w:spacing w:before="20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when it is said that ‘this formality of the divine essence and relation </w:t>
      </w:r>
      <w:proofErr w:type="gramStart"/>
      <w:r>
        <w:rPr>
          <w:rFonts w:ascii="Times New Roman" w:eastAsia="Times New Roman" w:hAnsi="Times New Roman" w:cs="Times New Roman"/>
          <w:sz w:val="24"/>
          <w:szCs w:val="24"/>
        </w:rPr>
        <w:t>is  incommunicable</w:t>
      </w:r>
      <w:proofErr w:type="gramEnd"/>
      <w:r>
        <w:rPr>
          <w:rFonts w:ascii="Times New Roman" w:eastAsia="Times New Roman" w:hAnsi="Times New Roman" w:cs="Times New Roman"/>
          <w:sz w:val="24"/>
          <w:szCs w:val="24"/>
        </w:rPr>
        <w:t xml:space="preserve">’ then this negation taken infinitely does not distribute to the essence with respect to everything which it asserts. [ii] Thus, the sense would [otherwise] be that according to everything which it signifies, it does not have communicable being; for thus it would be clearly false: [iii] but in the consequent when it is inferred ‘therefore it is not case that the predicated formality is communicable’ then [iv] the negation has the force of the distributed, and thus the negative proposition reduces to this sense, namely, that according to no </w:t>
      </w:r>
      <w:r>
        <w:rPr>
          <w:rFonts w:ascii="Times New Roman" w:eastAsia="Times New Roman" w:hAnsi="Times New Roman" w:cs="Times New Roman"/>
          <w:i/>
          <w:sz w:val="24"/>
          <w:szCs w:val="24"/>
        </w:rPr>
        <w:t xml:space="preserve">ratio </w:t>
      </w:r>
      <w:r>
        <w:rPr>
          <w:rFonts w:ascii="Times New Roman" w:eastAsia="Times New Roman" w:hAnsi="Times New Roman" w:cs="Times New Roman"/>
          <w:sz w:val="24"/>
          <w:szCs w:val="24"/>
        </w:rPr>
        <w:t xml:space="preserve">of it is it communicable. [v] </w:t>
      </w:r>
      <w:proofErr w:type="gramStart"/>
      <w:r>
        <w:rPr>
          <w:rFonts w:ascii="Times New Roman" w:eastAsia="Times New Roman" w:hAnsi="Times New Roman" w:cs="Times New Roman"/>
          <w:sz w:val="24"/>
          <w:szCs w:val="24"/>
        </w:rPr>
        <w:t>But</w:t>
      </w:r>
      <w:proofErr w:type="gramEnd"/>
      <w:r>
        <w:rPr>
          <w:rFonts w:ascii="Times New Roman" w:eastAsia="Times New Roman" w:hAnsi="Times New Roman" w:cs="Times New Roman"/>
          <w:sz w:val="24"/>
          <w:szCs w:val="24"/>
        </w:rPr>
        <w:t xml:space="preserve"> that is false, and from the antecedent that saying is not inferred….</w:t>
      </w:r>
    </w:p>
    <w:p w14:paraId="00000050" w14:textId="77777777" w:rsidR="008D1538" w:rsidRDefault="00000000">
      <w:pPr>
        <w:spacing w:before="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the </w:t>
      </w:r>
      <w:proofErr w:type="spellStart"/>
      <w:r>
        <w:rPr>
          <w:rFonts w:ascii="Times New Roman" w:eastAsia="Times New Roman" w:hAnsi="Times New Roman" w:cs="Times New Roman"/>
          <w:sz w:val="24"/>
          <w:szCs w:val="24"/>
        </w:rPr>
        <w:t>Salmanticenses</w:t>
      </w:r>
      <w:proofErr w:type="spellEnd"/>
      <w:r>
        <w:rPr>
          <w:rFonts w:ascii="Times New Roman" w:eastAsia="Times New Roman" w:hAnsi="Times New Roman" w:cs="Times New Roman"/>
          <w:sz w:val="24"/>
          <w:szCs w:val="24"/>
        </w:rPr>
        <w:t xml:space="preserve">, there is an important distinction in the function of negation. On one usage (ii and iv) the negation applies to the whole of the thing negated: ‘it is not the case that x is communicable’ means that for all y, if y is a </w:t>
      </w:r>
      <w:r>
        <w:rPr>
          <w:rFonts w:ascii="Times New Roman" w:eastAsia="Times New Roman" w:hAnsi="Times New Roman" w:cs="Times New Roman"/>
          <w:i/>
          <w:sz w:val="24"/>
          <w:szCs w:val="24"/>
        </w:rPr>
        <w:t>ratio</w:t>
      </w:r>
      <w:r>
        <w:rPr>
          <w:rFonts w:ascii="Times New Roman" w:eastAsia="Times New Roman" w:hAnsi="Times New Roman" w:cs="Times New Roman"/>
          <w:sz w:val="24"/>
          <w:szCs w:val="24"/>
        </w:rPr>
        <w:t xml:space="preserve"> of x, x is not communicable according to y. Thus, removing this negation altogether, ‘x is communicable’ means that for some </w:t>
      </w:r>
      <w:r>
        <w:rPr>
          <w:rFonts w:ascii="Times New Roman" w:eastAsia="Times New Roman" w:hAnsi="Times New Roman" w:cs="Times New Roman"/>
          <w:i/>
          <w:sz w:val="24"/>
          <w:szCs w:val="24"/>
        </w:rPr>
        <w:t>ratio</w:t>
      </w:r>
      <w:r>
        <w:rPr>
          <w:rFonts w:ascii="Times New Roman" w:eastAsia="Times New Roman" w:hAnsi="Times New Roman" w:cs="Times New Roman"/>
          <w:sz w:val="24"/>
          <w:szCs w:val="24"/>
        </w:rPr>
        <w:t xml:space="preserve"> y, x is communicable according to y (which accords with Def. 1). According to the contrasting usage, </w:t>
      </w:r>
      <w:r>
        <w:rPr>
          <w:rFonts w:ascii="Times New Roman" w:eastAsia="Times New Roman" w:hAnsi="Times New Roman" w:cs="Times New Roman"/>
          <w:sz w:val="24"/>
          <w:szCs w:val="24"/>
        </w:rPr>
        <w:lastRenderedPageBreak/>
        <w:t>(</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the negation does not distribute to the whole of the thing negated, i.e., ‘x is incommunicable’ means that there is some </w:t>
      </w:r>
      <w:r>
        <w:rPr>
          <w:rFonts w:ascii="Times New Roman" w:eastAsia="Times New Roman" w:hAnsi="Times New Roman" w:cs="Times New Roman"/>
          <w:i/>
          <w:sz w:val="24"/>
          <w:szCs w:val="24"/>
        </w:rPr>
        <w:t>ratio</w:t>
      </w:r>
      <w:r>
        <w:rPr>
          <w:rFonts w:ascii="Times New Roman" w:eastAsia="Times New Roman" w:hAnsi="Times New Roman" w:cs="Times New Roman"/>
          <w:sz w:val="24"/>
          <w:szCs w:val="24"/>
        </w:rPr>
        <w:t xml:space="preserve"> y of x such that x is not communicable according to y (which accords with Def 2). So, when (iii) the objector tries to infer ‘therefore it is not the case that the predicated formality is communicable’ from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‘this formality of the divine essence and relation is incommunicable,’ (v) the inference is invalid (and the conclusion false). The essence(/paternity) is communicable because, with respect to one </w:t>
      </w:r>
      <w:r>
        <w:rPr>
          <w:rFonts w:ascii="Times New Roman" w:eastAsia="Times New Roman" w:hAnsi="Times New Roman" w:cs="Times New Roman"/>
          <w:i/>
          <w:sz w:val="24"/>
          <w:szCs w:val="24"/>
        </w:rPr>
        <w:t>ratio</w:t>
      </w:r>
      <w:r>
        <w:rPr>
          <w:rFonts w:ascii="Times New Roman" w:eastAsia="Times New Roman" w:hAnsi="Times New Roman" w:cs="Times New Roman"/>
          <w:sz w:val="24"/>
          <w:szCs w:val="24"/>
        </w:rPr>
        <w:t xml:space="preserve">, it is communicable; it is incommunicable because, with respect to another </w:t>
      </w:r>
      <w:r>
        <w:rPr>
          <w:rFonts w:ascii="Times New Roman" w:eastAsia="Times New Roman" w:hAnsi="Times New Roman" w:cs="Times New Roman"/>
          <w:i/>
          <w:sz w:val="24"/>
          <w:szCs w:val="24"/>
        </w:rPr>
        <w:t>ratio</w:t>
      </w:r>
      <w:r>
        <w:rPr>
          <w:rFonts w:ascii="Times New Roman" w:eastAsia="Times New Roman" w:hAnsi="Times New Roman" w:cs="Times New Roman"/>
          <w:sz w:val="24"/>
          <w:szCs w:val="24"/>
        </w:rPr>
        <w:t>, it is not communicable;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but it is false that it both is and is not communicable.</w:t>
      </w:r>
    </w:p>
    <w:p w14:paraId="00000051" w14:textId="77777777" w:rsidR="008D1538" w:rsidRDefault="00000000">
      <w:pPr>
        <w:spacing w:before="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Given our previous arguments, the ordinary reduplication strategy is not viable as a response to the Achilles; something like radical </w:t>
      </w:r>
      <w:proofErr w:type="spellStart"/>
      <w:r>
        <w:rPr>
          <w:rFonts w:ascii="Times New Roman" w:eastAsia="Times New Roman" w:hAnsi="Times New Roman" w:cs="Times New Roman"/>
          <w:sz w:val="24"/>
          <w:szCs w:val="24"/>
        </w:rPr>
        <w:t>reduplicationism</w:t>
      </w:r>
      <w:proofErr w:type="spellEnd"/>
      <w:r>
        <w:rPr>
          <w:rFonts w:ascii="Times New Roman" w:eastAsia="Times New Roman" w:hAnsi="Times New Roman" w:cs="Times New Roman"/>
          <w:sz w:val="24"/>
          <w:szCs w:val="24"/>
        </w:rPr>
        <w:t xml:space="preserve"> is needed. Some problems remain, however. First, the definitions of communicability and incommunicability given above have little, independently, to recommend them. Further, the theoretical work they can do for the Thomist–mainly, leveraging a response to the Achilles–is meager. It’s not obvious how the Thomist, on theoretical grounds, will be able to justify accepting these seemingly </w:t>
      </w:r>
      <w:r>
        <w:rPr>
          <w:rFonts w:ascii="Times New Roman" w:eastAsia="Times New Roman" w:hAnsi="Times New Roman" w:cs="Times New Roman"/>
          <w:i/>
          <w:sz w:val="24"/>
          <w:szCs w:val="24"/>
        </w:rPr>
        <w:t>ad hoc</w:t>
      </w:r>
      <w:r>
        <w:rPr>
          <w:rFonts w:ascii="Times New Roman" w:eastAsia="Times New Roman" w:hAnsi="Times New Roman" w:cs="Times New Roman"/>
          <w:sz w:val="24"/>
          <w:szCs w:val="24"/>
        </w:rPr>
        <w:t xml:space="preserve"> definitions. </w:t>
      </w:r>
    </w:p>
    <w:p w14:paraId="00000052" w14:textId="77777777" w:rsidR="008D1538" w:rsidRDefault="00000000">
      <w:pPr>
        <w:spacing w:before="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there’s reason to think that piecemeal radical </w:t>
      </w:r>
      <w:proofErr w:type="spellStart"/>
      <w:r>
        <w:rPr>
          <w:rFonts w:ascii="Times New Roman" w:eastAsia="Times New Roman" w:hAnsi="Times New Roman" w:cs="Times New Roman"/>
          <w:sz w:val="24"/>
          <w:szCs w:val="24"/>
        </w:rPr>
        <w:t>reduplicationism</w:t>
      </w:r>
      <w:proofErr w:type="spellEnd"/>
      <w:r>
        <w:rPr>
          <w:rFonts w:ascii="Times New Roman" w:eastAsia="Times New Roman" w:hAnsi="Times New Roman" w:cs="Times New Roman"/>
          <w:sz w:val="24"/>
          <w:szCs w:val="24"/>
        </w:rPr>
        <w:t xml:space="preserve">–limited to only a few cases, like communicability and incommunicability–is insufficiently general. If we replace every occurrence of ‘is communicable’ with ‘is shared’ and every occurrence of ‘is incommunicable’ with ‘is not shared’ in the Achilles argument, the resulting argument seems no less forceful than the original: the new first premise is plausible, and the new second premise can be denied only by countenancing heterodox theological consequences. Here, to extend the radical </w:t>
      </w:r>
      <w:proofErr w:type="spellStart"/>
      <w:r>
        <w:rPr>
          <w:rFonts w:ascii="Times New Roman" w:eastAsia="Times New Roman" w:hAnsi="Times New Roman" w:cs="Times New Roman"/>
          <w:sz w:val="24"/>
          <w:szCs w:val="24"/>
        </w:rPr>
        <w:t>reduplicationist’s</w:t>
      </w:r>
      <w:proofErr w:type="spellEnd"/>
      <w:r>
        <w:rPr>
          <w:rFonts w:ascii="Times New Roman" w:eastAsia="Times New Roman" w:hAnsi="Times New Roman" w:cs="Times New Roman"/>
          <w:sz w:val="24"/>
          <w:szCs w:val="24"/>
        </w:rPr>
        <w:t xml:space="preserve"> response, more and more of our vocabulary needs to be understood along radical </w:t>
      </w:r>
      <w:proofErr w:type="spellStart"/>
      <w:r>
        <w:rPr>
          <w:rFonts w:ascii="Times New Roman" w:eastAsia="Times New Roman" w:hAnsi="Times New Roman" w:cs="Times New Roman"/>
          <w:sz w:val="24"/>
          <w:szCs w:val="24"/>
        </w:rPr>
        <w:t>reduplicationist</w:t>
      </w:r>
      <w:proofErr w:type="spellEnd"/>
      <w:r>
        <w:rPr>
          <w:rFonts w:ascii="Times New Roman" w:eastAsia="Times New Roman" w:hAnsi="Times New Roman" w:cs="Times New Roman"/>
          <w:sz w:val="24"/>
          <w:szCs w:val="24"/>
        </w:rPr>
        <w:t xml:space="preserve"> lines: to be F is to be F-according-to-some-</w:t>
      </w:r>
      <w:r>
        <w:rPr>
          <w:rFonts w:ascii="Times New Roman" w:eastAsia="Times New Roman" w:hAnsi="Times New Roman" w:cs="Times New Roman"/>
          <w:i/>
          <w:sz w:val="24"/>
          <w:szCs w:val="24"/>
        </w:rPr>
        <w:t>ratio</w:t>
      </w:r>
      <w:r>
        <w:rPr>
          <w:rFonts w:ascii="Times New Roman" w:eastAsia="Times New Roman" w:hAnsi="Times New Roman" w:cs="Times New Roman"/>
          <w:sz w:val="24"/>
          <w:szCs w:val="24"/>
        </w:rPr>
        <w:t>, to be G is to be G-</w:t>
      </w:r>
      <w:r>
        <w:rPr>
          <w:rFonts w:ascii="Times New Roman" w:eastAsia="Times New Roman" w:hAnsi="Times New Roman" w:cs="Times New Roman"/>
          <w:sz w:val="24"/>
          <w:szCs w:val="24"/>
        </w:rPr>
        <w:lastRenderedPageBreak/>
        <w:t>according-to-some-</w:t>
      </w:r>
      <w:r>
        <w:rPr>
          <w:rFonts w:ascii="Times New Roman" w:eastAsia="Times New Roman" w:hAnsi="Times New Roman" w:cs="Times New Roman"/>
          <w:i/>
          <w:sz w:val="24"/>
          <w:szCs w:val="24"/>
        </w:rPr>
        <w:t>ratio</w:t>
      </w:r>
      <w:r>
        <w:rPr>
          <w:rFonts w:ascii="Times New Roman" w:eastAsia="Times New Roman" w:hAnsi="Times New Roman" w:cs="Times New Roman"/>
          <w:sz w:val="24"/>
          <w:szCs w:val="24"/>
        </w:rPr>
        <w:t xml:space="preserve">, and so on. </w:t>
      </w:r>
      <w:proofErr w:type="gramStart"/>
      <w:r>
        <w:rPr>
          <w:rFonts w:ascii="Times New Roman" w:eastAsia="Times New Roman" w:hAnsi="Times New Roman" w:cs="Times New Roman"/>
          <w:sz w:val="24"/>
          <w:szCs w:val="24"/>
        </w:rPr>
        <w:t>Thus</w:t>
      </w:r>
      <w:proofErr w:type="gramEnd"/>
      <w:r>
        <w:rPr>
          <w:rFonts w:ascii="Times New Roman" w:eastAsia="Times New Roman" w:hAnsi="Times New Roman" w:cs="Times New Roman"/>
          <w:sz w:val="24"/>
          <w:szCs w:val="24"/>
        </w:rPr>
        <w:t xml:space="preserve"> the semantic and metaphysical costs incurred by adopting revised definitions of communicability and incommunicability multiply. </w:t>
      </w:r>
    </w:p>
    <w:p w14:paraId="00000053" w14:textId="77777777" w:rsidR="008D1538" w:rsidRDefault="00000000">
      <w:pPr>
        <w:spacing w:before="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more pressing worry about the radical reduplication strategy concerns the invocation of diverse </w:t>
      </w:r>
      <w:r>
        <w:rPr>
          <w:rFonts w:ascii="Times New Roman" w:eastAsia="Times New Roman" w:hAnsi="Times New Roman" w:cs="Times New Roman"/>
          <w:i/>
          <w:sz w:val="24"/>
          <w:szCs w:val="24"/>
        </w:rPr>
        <w:t>rationes</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58"/>
      </w:r>
      <w:r>
        <w:rPr>
          <w:rFonts w:ascii="Times New Roman" w:eastAsia="Times New Roman" w:hAnsi="Times New Roman" w:cs="Times New Roman"/>
          <w:sz w:val="24"/>
          <w:szCs w:val="24"/>
        </w:rPr>
        <w:t xml:space="preserve"> In order for this strategy to succeed, there needs to be a multiplicity of distinct </w:t>
      </w:r>
      <w:r>
        <w:rPr>
          <w:rFonts w:ascii="Times New Roman" w:eastAsia="Times New Roman" w:hAnsi="Times New Roman" w:cs="Times New Roman"/>
          <w:i/>
          <w:sz w:val="24"/>
          <w:szCs w:val="24"/>
        </w:rPr>
        <w:t xml:space="preserve">rationes </w:t>
      </w:r>
      <w:r>
        <w:rPr>
          <w:rFonts w:ascii="Times New Roman" w:eastAsia="Times New Roman" w:hAnsi="Times New Roman" w:cs="Times New Roman"/>
          <w:sz w:val="24"/>
          <w:szCs w:val="24"/>
        </w:rPr>
        <w:t xml:space="preserve">present in the divine nature. However, here the Thomist faces a dilemma: either there is a multiplicity of distinct </w:t>
      </w:r>
      <w:r>
        <w:rPr>
          <w:rFonts w:ascii="Times New Roman" w:eastAsia="Times New Roman" w:hAnsi="Times New Roman" w:cs="Times New Roman"/>
          <w:i/>
          <w:sz w:val="24"/>
          <w:szCs w:val="24"/>
        </w:rPr>
        <w:t xml:space="preserve">rationes </w:t>
      </w:r>
      <w:r>
        <w:rPr>
          <w:rFonts w:ascii="Times New Roman" w:eastAsia="Times New Roman" w:hAnsi="Times New Roman" w:cs="Times New Roman"/>
          <w:sz w:val="24"/>
          <w:szCs w:val="24"/>
        </w:rPr>
        <w:t>present in the divine nature prior to any act of the intellect, or else only posterior to some act of the intellect. If it’s the latter,</w:t>
      </w:r>
      <w:r>
        <w:rPr>
          <w:rFonts w:ascii="Times New Roman" w:eastAsia="Times New Roman" w:hAnsi="Times New Roman" w:cs="Times New Roman"/>
          <w:sz w:val="24"/>
          <w:szCs w:val="24"/>
          <w:vertAlign w:val="superscript"/>
        </w:rPr>
        <w:footnoteReference w:id="59"/>
      </w:r>
      <w:r>
        <w:rPr>
          <w:rFonts w:ascii="Times New Roman" w:eastAsia="Times New Roman" w:hAnsi="Times New Roman" w:cs="Times New Roman"/>
          <w:sz w:val="24"/>
          <w:szCs w:val="24"/>
        </w:rPr>
        <w:t xml:space="preserve"> then they cannot do any explanatory work </w:t>
      </w:r>
      <w:r>
        <w:rPr>
          <w:rFonts w:ascii="Times New Roman" w:eastAsia="Times New Roman" w:hAnsi="Times New Roman" w:cs="Times New Roman"/>
          <w:i/>
          <w:sz w:val="24"/>
          <w:szCs w:val="24"/>
        </w:rPr>
        <w:t xml:space="preserve">prior </w:t>
      </w:r>
      <w:r>
        <w:rPr>
          <w:rFonts w:ascii="Times New Roman" w:eastAsia="Times New Roman" w:hAnsi="Times New Roman" w:cs="Times New Roman"/>
          <w:sz w:val="24"/>
          <w:szCs w:val="24"/>
        </w:rPr>
        <w:t xml:space="preserve">to any act of the intellect. In that case, they cannot be used to explain why either premise of the Achilles is false, since the premises are each about how things are </w:t>
      </w:r>
      <w:r>
        <w:rPr>
          <w:rFonts w:ascii="Times New Roman" w:eastAsia="Times New Roman" w:hAnsi="Times New Roman" w:cs="Times New Roman"/>
          <w:i/>
          <w:sz w:val="24"/>
          <w:szCs w:val="24"/>
        </w:rPr>
        <w:t xml:space="preserve">prior </w:t>
      </w:r>
      <w:r>
        <w:rPr>
          <w:rFonts w:ascii="Times New Roman" w:eastAsia="Times New Roman" w:hAnsi="Times New Roman" w:cs="Times New Roman"/>
          <w:sz w:val="24"/>
          <w:szCs w:val="24"/>
        </w:rPr>
        <w:t xml:space="preserve">to any act of the intellect. On the other hand, if there is a multiplicity of distinct </w:t>
      </w:r>
      <w:r>
        <w:rPr>
          <w:rFonts w:ascii="Times New Roman" w:eastAsia="Times New Roman" w:hAnsi="Times New Roman" w:cs="Times New Roman"/>
          <w:i/>
          <w:sz w:val="24"/>
          <w:szCs w:val="24"/>
        </w:rPr>
        <w:t xml:space="preserve">rationes </w:t>
      </w:r>
      <w:r>
        <w:rPr>
          <w:rFonts w:ascii="Times New Roman" w:eastAsia="Times New Roman" w:hAnsi="Times New Roman" w:cs="Times New Roman"/>
          <w:sz w:val="24"/>
          <w:szCs w:val="24"/>
        </w:rPr>
        <w:t xml:space="preserve">present in the divine nature prior to any act of the intellect, then these </w:t>
      </w:r>
      <w:r>
        <w:rPr>
          <w:rFonts w:ascii="Times New Roman" w:eastAsia="Times New Roman" w:hAnsi="Times New Roman" w:cs="Times New Roman"/>
          <w:i/>
          <w:sz w:val="24"/>
          <w:szCs w:val="24"/>
        </w:rPr>
        <w:t xml:space="preserve">rationes </w:t>
      </w:r>
      <w:r>
        <w:rPr>
          <w:rFonts w:ascii="Times New Roman" w:eastAsia="Times New Roman" w:hAnsi="Times New Roman" w:cs="Times New Roman"/>
          <w:sz w:val="24"/>
          <w:szCs w:val="24"/>
        </w:rPr>
        <w:t xml:space="preserve">are features of the divine nature, and are thus identical, by divine simplicity. But then we have a case where identical things are nonetheless distinct prior to any act of the intellect: that’s just the </w:t>
      </w:r>
      <w:proofErr w:type="spellStart"/>
      <w:r>
        <w:rPr>
          <w:rFonts w:ascii="Times New Roman" w:eastAsia="Times New Roman" w:hAnsi="Times New Roman" w:cs="Times New Roman"/>
          <w:sz w:val="24"/>
          <w:szCs w:val="24"/>
        </w:rPr>
        <w:t>Scotist’s</w:t>
      </w:r>
      <w:proofErr w:type="spellEnd"/>
      <w:r>
        <w:rPr>
          <w:rFonts w:ascii="Times New Roman" w:eastAsia="Times New Roman" w:hAnsi="Times New Roman" w:cs="Times New Roman"/>
          <w:sz w:val="24"/>
          <w:szCs w:val="24"/>
        </w:rPr>
        <w:t xml:space="preserve"> formal distinction! More carefully, that’s just what the anti-</w:t>
      </w:r>
      <w:proofErr w:type="spellStart"/>
      <w:r>
        <w:rPr>
          <w:rFonts w:ascii="Times New Roman" w:eastAsia="Times New Roman" w:hAnsi="Times New Roman" w:cs="Times New Roman"/>
          <w:sz w:val="24"/>
          <w:szCs w:val="24"/>
        </w:rPr>
        <w:t>Scotist</w:t>
      </w:r>
      <w:proofErr w:type="spellEnd"/>
      <w:r>
        <w:rPr>
          <w:rFonts w:ascii="Times New Roman" w:eastAsia="Times New Roman" w:hAnsi="Times New Roman" w:cs="Times New Roman"/>
          <w:sz w:val="24"/>
          <w:szCs w:val="24"/>
        </w:rPr>
        <w:t xml:space="preserve">, in rejecting the conclusion of the Achilles, is trying to avoid. We see no way out for the radical </w:t>
      </w:r>
      <w:proofErr w:type="spellStart"/>
      <w:r>
        <w:rPr>
          <w:rFonts w:ascii="Times New Roman" w:eastAsia="Times New Roman" w:hAnsi="Times New Roman" w:cs="Times New Roman"/>
          <w:sz w:val="24"/>
          <w:szCs w:val="24"/>
        </w:rPr>
        <w:t>reduplicationist</w:t>
      </w:r>
      <w:proofErr w:type="spellEnd"/>
      <w:r>
        <w:rPr>
          <w:rFonts w:ascii="Times New Roman" w:eastAsia="Times New Roman" w:hAnsi="Times New Roman" w:cs="Times New Roman"/>
          <w:sz w:val="24"/>
          <w:szCs w:val="24"/>
        </w:rPr>
        <w:t xml:space="preserve"> here.</w:t>
      </w:r>
      <w:r>
        <w:rPr>
          <w:rFonts w:ascii="Times New Roman" w:eastAsia="Times New Roman" w:hAnsi="Times New Roman" w:cs="Times New Roman"/>
          <w:sz w:val="24"/>
          <w:szCs w:val="24"/>
          <w:vertAlign w:val="superscript"/>
        </w:rPr>
        <w:footnoteReference w:id="60"/>
      </w:r>
      <w:r>
        <w:rPr>
          <w:rFonts w:ascii="Times New Roman" w:eastAsia="Times New Roman" w:hAnsi="Times New Roman" w:cs="Times New Roman"/>
          <w:sz w:val="24"/>
          <w:szCs w:val="24"/>
        </w:rPr>
        <w:t xml:space="preserve"> </w:t>
      </w:r>
    </w:p>
    <w:p w14:paraId="00000054" w14:textId="77777777" w:rsidR="008D1538" w:rsidRDefault="00000000">
      <w:pPr>
        <w:spacing w:before="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Summing up, the bulk of the Thomists appeal to reduplication in a way that, as a response to the Achilles, is a dead end: it leaves the first premise of the Achilles untouched. A minority of the Thomists appeal to radical </w:t>
      </w:r>
      <w:proofErr w:type="spellStart"/>
      <w:r>
        <w:rPr>
          <w:rFonts w:ascii="Times New Roman" w:eastAsia="Times New Roman" w:hAnsi="Times New Roman" w:cs="Times New Roman"/>
          <w:sz w:val="24"/>
          <w:szCs w:val="24"/>
        </w:rPr>
        <w:t>reduplicationism</w:t>
      </w:r>
      <w:proofErr w:type="spellEnd"/>
      <w:r>
        <w:rPr>
          <w:rFonts w:ascii="Times New Roman" w:eastAsia="Times New Roman" w:hAnsi="Times New Roman" w:cs="Times New Roman"/>
          <w:sz w:val="24"/>
          <w:szCs w:val="24"/>
        </w:rPr>
        <w:t xml:space="preserve">; to the credit of the </w:t>
      </w:r>
      <w:proofErr w:type="spellStart"/>
      <w:r>
        <w:rPr>
          <w:rFonts w:ascii="Times New Roman" w:eastAsia="Times New Roman" w:hAnsi="Times New Roman" w:cs="Times New Roman"/>
          <w:sz w:val="24"/>
          <w:szCs w:val="24"/>
        </w:rPr>
        <w:t>Salmanticenses</w:t>
      </w:r>
      <w:proofErr w:type="spellEnd"/>
      <w:r>
        <w:rPr>
          <w:rFonts w:ascii="Times New Roman" w:eastAsia="Times New Roman" w:hAnsi="Times New Roman" w:cs="Times New Roman"/>
          <w:sz w:val="24"/>
          <w:szCs w:val="24"/>
        </w:rPr>
        <w:t xml:space="preserve">, this appeal to </w:t>
      </w:r>
      <w:r>
        <w:rPr>
          <w:rFonts w:ascii="Times New Roman" w:eastAsia="Times New Roman" w:hAnsi="Times New Roman" w:cs="Times New Roman"/>
          <w:sz w:val="24"/>
          <w:szCs w:val="24"/>
        </w:rPr>
        <w:lastRenderedPageBreak/>
        <w:t xml:space="preserve">reduplication does not simply change the subject. But, as we have seen, radical </w:t>
      </w:r>
      <w:proofErr w:type="spellStart"/>
      <w:r>
        <w:rPr>
          <w:rFonts w:ascii="Times New Roman" w:eastAsia="Times New Roman" w:hAnsi="Times New Roman" w:cs="Times New Roman"/>
          <w:sz w:val="24"/>
          <w:szCs w:val="24"/>
        </w:rPr>
        <w:t>reduplicationism</w:t>
      </w:r>
      <w:proofErr w:type="spellEnd"/>
      <w:r>
        <w:rPr>
          <w:rFonts w:ascii="Times New Roman" w:eastAsia="Times New Roman" w:hAnsi="Times New Roman" w:cs="Times New Roman"/>
          <w:sz w:val="24"/>
          <w:szCs w:val="24"/>
        </w:rPr>
        <w:t xml:space="preserve"> has its own problems, and it is of doubtful usefulness as a response to the Achilles. </w:t>
      </w:r>
    </w:p>
    <w:p w14:paraId="00000055" w14:textId="77777777" w:rsidR="008D1538" w:rsidRDefault="00000000">
      <w:pPr>
        <w:spacing w:before="200"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Inconsistency and </w:t>
      </w:r>
      <w:proofErr w:type="spellStart"/>
      <w:r>
        <w:rPr>
          <w:rFonts w:ascii="Times New Roman" w:eastAsia="Times New Roman" w:hAnsi="Times New Roman" w:cs="Times New Roman"/>
          <w:sz w:val="28"/>
          <w:szCs w:val="28"/>
        </w:rPr>
        <w:t>Mysterian</w:t>
      </w:r>
      <w:proofErr w:type="spellEnd"/>
      <w:r>
        <w:rPr>
          <w:rFonts w:ascii="Times New Roman" w:eastAsia="Times New Roman" w:hAnsi="Times New Roman" w:cs="Times New Roman"/>
          <w:sz w:val="28"/>
          <w:szCs w:val="28"/>
        </w:rPr>
        <w:t xml:space="preserve"> Strategies</w:t>
      </w:r>
    </w:p>
    <w:p w14:paraId="00000056" w14:textId="77777777" w:rsidR="008D1538" w:rsidRDefault="00000000">
      <w:pPr>
        <w:spacing w:before="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leads us to the third strategy for responding to the Achilles. Premise 1 follows from the contradictoriness assumption and the no-contradiction principle. Whereas, as we have seen, some </w:t>
      </w:r>
      <w:proofErr w:type="spellStart"/>
      <w:r>
        <w:rPr>
          <w:rFonts w:ascii="Times New Roman" w:eastAsia="Times New Roman" w:hAnsi="Times New Roman" w:cs="Times New Roman"/>
          <w:sz w:val="24"/>
          <w:szCs w:val="24"/>
        </w:rPr>
        <w:t>reduplicationists</w:t>
      </w:r>
      <w:proofErr w:type="spellEnd"/>
      <w:r>
        <w:rPr>
          <w:rFonts w:ascii="Times New Roman" w:eastAsia="Times New Roman" w:hAnsi="Times New Roman" w:cs="Times New Roman"/>
          <w:sz w:val="24"/>
          <w:szCs w:val="24"/>
        </w:rPr>
        <w:t xml:space="preserve"> deny premise 1 by rejecting the CA, others deny 1 by rejecting the NCP, taking paternity and the divine essence to be counterexamples. In other words, this strategy accepts both of</w:t>
      </w:r>
    </w:p>
    <w:p w14:paraId="00000057" w14:textId="77777777" w:rsidR="008D1538" w:rsidRDefault="00000000">
      <w:pPr>
        <w:numPr>
          <w:ilvl w:val="0"/>
          <w:numId w:val="8"/>
        </w:numPr>
        <w:spacing w:before="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divine nature(/paternity) is communicable</w:t>
      </w:r>
    </w:p>
    <w:p w14:paraId="00000058" w14:textId="77777777" w:rsidR="008D1538" w:rsidRDefault="00000000">
      <w:pPr>
        <w:spacing w:before="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w:t>
      </w:r>
    </w:p>
    <w:p w14:paraId="00000059" w14:textId="77777777" w:rsidR="008D1538" w:rsidRDefault="00000000">
      <w:pPr>
        <w:numPr>
          <w:ilvl w:val="0"/>
          <w:numId w:val="3"/>
        </w:numPr>
        <w:spacing w:before="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divine nature/(paternity) is not communicable</w:t>
      </w:r>
    </w:p>
    <w:p w14:paraId="0000005A" w14:textId="77777777" w:rsidR="008D1538" w:rsidRDefault="00000000">
      <w:pPr>
        <w:spacing w:before="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these are contradictories, the proposed solution is committed to an outright contradiction. Call this the </w:t>
      </w:r>
      <w:r>
        <w:rPr>
          <w:rFonts w:ascii="Times New Roman" w:eastAsia="Times New Roman" w:hAnsi="Times New Roman" w:cs="Times New Roman"/>
          <w:i/>
          <w:sz w:val="24"/>
          <w:szCs w:val="24"/>
        </w:rPr>
        <w:t>inconsistency strategy</w:t>
      </w:r>
      <w:r>
        <w:rPr>
          <w:rFonts w:ascii="Times New Roman" w:eastAsia="Times New Roman" w:hAnsi="Times New Roman" w:cs="Times New Roman"/>
          <w:sz w:val="24"/>
          <w:szCs w:val="24"/>
        </w:rPr>
        <w:t xml:space="preserve">. </w:t>
      </w:r>
    </w:p>
    <w:p w14:paraId="0000005B" w14:textId="77777777" w:rsidR="008D1538"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proposal–accepting outright contradictions–might be surprising, but there is some, admittedly meager precedent in the history of Western philosophy for thinking that right theology, though true, is inconsistent. For instance, some interpret Plotinus as holding that “the principle of non-contradiction” does not apply to the One.</w:t>
      </w:r>
      <w:r>
        <w:rPr>
          <w:rFonts w:ascii="Times New Roman" w:eastAsia="Times New Roman" w:hAnsi="Times New Roman" w:cs="Times New Roman"/>
          <w:sz w:val="24"/>
          <w:szCs w:val="24"/>
          <w:vertAlign w:val="superscript"/>
        </w:rPr>
        <w:footnoteReference w:id="61"/>
      </w:r>
      <w:r>
        <w:rPr>
          <w:rFonts w:ascii="Times New Roman" w:eastAsia="Times New Roman" w:hAnsi="Times New Roman" w:cs="Times New Roman"/>
          <w:sz w:val="24"/>
          <w:szCs w:val="24"/>
        </w:rPr>
        <w:t xml:space="preserve"> Nicholas of Cusa has been similarly interpreted.</w:t>
      </w:r>
      <w:r>
        <w:rPr>
          <w:rFonts w:ascii="Times New Roman" w:eastAsia="Times New Roman" w:hAnsi="Times New Roman" w:cs="Times New Roman"/>
          <w:sz w:val="24"/>
          <w:szCs w:val="24"/>
          <w:vertAlign w:val="superscript"/>
        </w:rPr>
        <w:footnoteReference w:id="62"/>
      </w:r>
      <w:r>
        <w:rPr>
          <w:rFonts w:ascii="Times New Roman" w:eastAsia="Times New Roman" w:hAnsi="Times New Roman" w:cs="Times New Roman"/>
          <w:sz w:val="24"/>
          <w:szCs w:val="24"/>
        </w:rPr>
        <w:t xml:space="preserve"> Among the scholastics, perhaps most prominent is the Nominalist Jesuit Honoré Fabri, who, in his discussion of the virtual distinction, posited true contradictions in God. (The </w:t>
      </w:r>
      <w:r>
        <w:rPr>
          <w:rFonts w:ascii="Times New Roman" w:eastAsia="Times New Roman" w:hAnsi="Times New Roman" w:cs="Times New Roman"/>
          <w:sz w:val="24"/>
          <w:szCs w:val="24"/>
        </w:rPr>
        <w:lastRenderedPageBreak/>
        <w:t>case is prominent only because Fabri’s unapologetic inconsistency was criticized severely by his now (slightly) more famous contemporary, Leibniz).</w:t>
      </w:r>
      <w:r>
        <w:rPr>
          <w:rFonts w:ascii="Times New Roman" w:eastAsia="Times New Roman" w:hAnsi="Times New Roman" w:cs="Times New Roman"/>
          <w:sz w:val="24"/>
          <w:szCs w:val="24"/>
          <w:vertAlign w:val="superscript"/>
        </w:rPr>
        <w:footnoteReference w:id="63"/>
      </w:r>
      <w:r>
        <w:rPr>
          <w:rFonts w:ascii="Times New Roman" w:eastAsia="Times New Roman" w:hAnsi="Times New Roman" w:cs="Times New Roman"/>
          <w:sz w:val="24"/>
          <w:szCs w:val="24"/>
        </w:rPr>
        <w:t xml:space="preserve"> Fabri rejects the possibility of a virtual distinction in creatures, since (contra the Thomists) he thinks it would entail that there are true contradictions in creation.</w:t>
      </w:r>
      <w:r>
        <w:rPr>
          <w:rFonts w:ascii="Times New Roman" w:eastAsia="Times New Roman" w:hAnsi="Times New Roman" w:cs="Times New Roman"/>
          <w:sz w:val="24"/>
          <w:szCs w:val="24"/>
          <w:vertAlign w:val="superscript"/>
        </w:rPr>
        <w:footnoteReference w:id="64"/>
      </w:r>
      <w:r>
        <w:rPr>
          <w:rFonts w:ascii="Times New Roman" w:eastAsia="Times New Roman" w:hAnsi="Times New Roman" w:cs="Times New Roman"/>
          <w:sz w:val="24"/>
          <w:szCs w:val="24"/>
        </w:rPr>
        <w:t xml:space="preserve"> Nevertheless, when it comes to God we must posit both the virtual distinction and true contradictions, “which human intelligences cannot comprehend naturally by power, but only from the faith divinely poured into us to believe, capturing our intellect in the </w:t>
      </w:r>
      <w:proofErr w:type="spellStart"/>
      <w:r>
        <w:rPr>
          <w:rFonts w:ascii="Times New Roman" w:eastAsia="Times New Roman" w:hAnsi="Times New Roman" w:cs="Times New Roman"/>
          <w:sz w:val="24"/>
          <w:szCs w:val="24"/>
        </w:rPr>
        <w:t>obsequience</w:t>
      </w:r>
      <w:proofErr w:type="spellEnd"/>
      <w:r>
        <w:rPr>
          <w:rFonts w:ascii="Times New Roman" w:eastAsia="Times New Roman" w:hAnsi="Times New Roman" w:cs="Times New Roman"/>
          <w:sz w:val="24"/>
          <w:szCs w:val="24"/>
        </w:rPr>
        <w:t xml:space="preserve"> of faith.”</w:t>
      </w:r>
      <w:r>
        <w:rPr>
          <w:rFonts w:ascii="Times New Roman" w:eastAsia="Times New Roman" w:hAnsi="Times New Roman" w:cs="Times New Roman"/>
          <w:sz w:val="24"/>
          <w:szCs w:val="24"/>
          <w:vertAlign w:val="superscript"/>
        </w:rPr>
        <w:footnoteReference w:id="65"/>
      </w:r>
    </w:p>
    <w:p w14:paraId="0000005C" w14:textId="77777777" w:rsidR="008D1538"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Thus, it is not so surprising to find such views on display in response to the Achilles. A version of this radical view is suggested by the important Thomist Tommaso Cajetan’s rejection of the first premise of the Achilles: “For from this, that there is one </w:t>
      </w:r>
      <w:r>
        <w:rPr>
          <w:rFonts w:ascii="Times New Roman" w:eastAsia="Times New Roman" w:hAnsi="Times New Roman" w:cs="Times New Roman"/>
          <w:i/>
          <w:sz w:val="24"/>
          <w:szCs w:val="24"/>
        </w:rPr>
        <w:t xml:space="preserve">ratio </w:t>
      </w:r>
      <w:r>
        <w:rPr>
          <w:rFonts w:ascii="Times New Roman" w:eastAsia="Times New Roman" w:hAnsi="Times New Roman" w:cs="Times New Roman"/>
          <w:sz w:val="24"/>
          <w:szCs w:val="24"/>
        </w:rPr>
        <w:t>in itself, it does not follow, ‘therefore it is only communicable or it is only incommunicable:’ but it remains that it is both communicable and incommunicable.”</w:t>
      </w:r>
      <w:r>
        <w:rPr>
          <w:rFonts w:ascii="Times New Roman" w:eastAsia="Times New Roman" w:hAnsi="Times New Roman" w:cs="Times New Roman"/>
          <w:sz w:val="24"/>
          <w:szCs w:val="24"/>
          <w:vertAlign w:val="superscript"/>
        </w:rPr>
        <w:footnoteReference w:id="66"/>
      </w:r>
      <w:r>
        <w:rPr>
          <w:rFonts w:ascii="Times New Roman" w:eastAsia="Times New Roman" w:hAnsi="Times New Roman" w:cs="Times New Roman"/>
          <w:sz w:val="24"/>
          <w:szCs w:val="24"/>
        </w:rPr>
        <w:t xml:space="preserve"> Here we assume that Cajetan, unlike the radical </w:t>
      </w:r>
      <w:proofErr w:type="spellStart"/>
      <w:r>
        <w:rPr>
          <w:rFonts w:ascii="Times New Roman" w:eastAsia="Times New Roman" w:hAnsi="Times New Roman" w:cs="Times New Roman"/>
          <w:sz w:val="24"/>
          <w:szCs w:val="24"/>
        </w:rPr>
        <w:t>reduplicationists</w:t>
      </w:r>
      <w:proofErr w:type="spellEnd"/>
      <w:r>
        <w:rPr>
          <w:rFonts w:ascii="Times New Roman" w:eastAsia="Times New Roman" w:hAnsi="Times New Roman" w:cs="Times New Roman"/>
          <w:sz w:val="24"/>
          <w:szCs w:val="24"/>
        </w:rPr>
        <w:t xml:space="preserve">, accepts that communicability and incommunicability are contradictories—he says nothing to suggest otherwise. In fact, according to Cajetan, if it is objected that one thing or </w:t>
      </w:r>
      <w:r>
        <w:rPr>
          <w:rFonts w:ascii="Times New Roman" w:eastAsia="Times New Roman" w:hAnsi="Times New Roman" w:cs="Times New Roman"/>
          <w:i/>
          <w:sz w:val="24"/>
          <w:szCs w:val="24"/>
        </w:rPr>
        <w:t>ratio</w:t>
      </w:r>
      <w:r>
        <w:rPr>
          <w:rFonts w:ascii="Times New Roman" w:eastAsia="Times New Roman" w:hAnsi="Times New Roman" w:cs="Times New Roman"/>
          <w:sz w:val="24"/>
          <w:szCs w:val="24"/>
        </w:rPr>
        <w:t xml:space="preserve"> can’t be both communicable and incommunicable, Cajetan adds that “that is true about one limited formal </w:t>
      </w:r>
      <w:r>
        <w:rPr>
          <w:rFonts w:ascii="Times New Roman" w:eastAsia="Times New Roman" w:hAnsi="Times New Roman" w:cs="Times New Roman"/>
          <w:i/>
          <w:sz w:val="24"/>
          <w:szCs w:val="24"/>
        </w:rPr>
        <w:t>ratio</w:t>
      </w:r>
      <w:r>
        <w:rPr>
          <w:rFonts w:ascii="Times New Roman" w:eastAsia="Times New Roman" w:hAnsi="Times New Roman" w:cs="Times New Roman"/>
          <w:sz w:val="24"/>
          <w:szCs w:val="24"/>
        </w:rPr>
        <w:t xml:space="preserve">, but not about an unlimited formal </w:t>
      </w:r>
      <w:r>
        <w:rPr>
          <w:rFonts w:ascii="Times New Roman" w:eastAsia="Times New Roman" w:hAnsi="Times New Roman" w:cs="Times New Roman"/>
          <w:i/>
          <w:sz w:val="24"/>
          <w:szCs w:val="24"/>
        </w:rPr>
        <w:t>ratio</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67"/>
      </w:r>
      <w:r>
        <w:rPr>
          <w:rFonts w:ascii="Times New Roman" w:eastAsia="Times New Roman" w:hAnsi="Times New Roman" w:cs="Times New Roman"/>
          <w:sz w:val="24"/>
          <w:szCs w:val="24"/>
        </w:rPr>
        <w:t xml:space="preserve"> </w:t>
      </w:r>
    </w:p>
    <w:p w14:paraId="0000005D" w14:textId="77777777" w:rsidR="008D1538"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Note the contrast between Cajetan and the </w:t>
      </w:r>
      <w:proofErr w:type="spellStart"/>
      <w:r>
        <w:rPr>
          <w:rFonts w:ascii="Times New Roman" w:eastAsia="Times New Roman" w:hAnsi="Times New Roman" w:cs="Times New Roman"/>
          <w:sz w:val="24"/>
          <w:szCs w:val="24"/>
        </w:rPr>
        <w:t>reduplicationists</w:t>
      </w:r>
      <w:proofErr w:type="spellEnd"/>
      <w:r>
        <w:rPr>
          <w:rFonts w:ascii="Times New Roman" w:eastAsia="Times New Roman" w:hAnsi="Times New Roman" w:cs="Times New Roman"/>
          <w:sz w:val="24"/>
          <w:szCs w:val="24"/>
        </w:rPr>
        <w:t xml:space="preserve">–radical or otherwise. For Gonet, recall, the divine entity has multiple </w:t>
      </w:r>
      <w:r>
        <w:rPr>
          <w:rFonts w:ascii="Times New Roman" w:eastAsia="Times New Roman" w:hAnsi="Times New Roman" w:cs="Times New Roman"/>
          <w:i/>
          <w:sz w:val="24"/>
          <w:szCs w:val="24"/>
        </w:rPr>
        <w:t>rationes</w:t>
      </w:r>
      <w:r>
        <w:rPr>
          <w:rFonts w:ascii="Times New Roman" w:eastAsia="Times New Roman" w:hAnsi="Times New Roman" w:cs="Times New Roman"/>
          <w:sz w:val="24"/>
          <w:szCs w:val="24"/>
        </w:rPr>
        <w:t xml:space="preserve">—one absolute, one relative. Contradictories are never verified of one and the same </w:t>
      </w:r>
      <w:r>
        <w:rPr>
          <w:rFonts w:ascii="Times New Roman" w:eastAsia="Times New Roman" w:hAnsi="Times New Roman" w:cs="Times New Roman"/>
          <w:i/>
          <w:sz w:val="24"/>
          <w:szCs w:val="24"/>
        </w:rPr>
        <w:t>ratio</w:t>
      </w:r>
      <w:r>
        <w:rPr>
          <w:rFonts w:ascii="Times New Roman" w:eastAsia="Times New Roman" w:hAnsi="Times New Roman" w:cs="Times New Roman"/>
          <w:sz w:val="24"/>
          <w:szCs w:val="24"/>
        </w:rPr>
        <w:t xml:space="preserve">, and the fact that there are two of them is exploited </w:t>
      </w:r>
      <w:r>
        <w:rPr>
          <w:rFonts w:ascii="Times New Roman" w:eastAsia="Times New Roman" w:hAnsi="Times New Roman" w:cs="Times New Roman"/>
          <w:i/>
          <w:sz w:val="24"/>
          <w:szCs w:val="24"/>
        </w:rPr>
        <w:t>via</w:t>
      </w:r>
      <w:r>
        <w:rPr>
          <w:rFonts w:ascii="Times New Roman" w:eastAsia="Times New Roman" w:hAnsi="Times New Roman" w:cs="Times New Roman"/>
          <w:sz w:val="24"/>
          <w:szCs w:val="24"/>
        </w:rPr>
        <w:t xml:space="preserve"> reduplication. Similarly, John of St. Thomas explicitly asserts that contradictories cannot be truly verified of one </w:t>
      </w:r>
      <w:r>
        <w:rPr>
          <w:rFonts w:ascii="Times New Roman" w:eastAsia="Times New Roman" w:hAnsi="Times New Roman" w:cs="Times New Roman"/>
          <w:i/>
          <w:sz w:val="24"/>
          <w:szCs w:val="24"/>
        </w:rPr>
        <w:t>ratio</w:t>
      </w:r>
      <w:r>
        <w:rPr>
          <w:rFonts w:ascii="Times New Roman" w:eastAsia="Times New Roman" w:hAnsi="Times New Roman" w:cs="Times New Roman"/>
          <w:sz w:val="24"/>
          <w:szCs w:val="24"/>
        </w:rPr>
        <w:t xml:space="preserve">, but only multiple </w:t>
      </w:r>
      <w:r>
        <w:rPr>
          <w:rFonts w:ascii="Times New Roman" w:eastAsia="Times New Roman" w:hAnsi="Times New Roman" w:cs="Times New Roman"/>
          <w:i/>
          <w:sz w:val="24"/>
          <w:szCs w:val="24"/>
        </w:rPr>
        <w:t xml:space="preserve">rationes </w:t>
      </w:r>
      <w:r>
        <w:rPr>
          <w:rFonts w:ascii="Times New Roman" w:eastAsia="Times New Roman" w:hAnsi="Times New Roman" w:cs="Times New Roman"/>
          <w:sz w:val="24"/>
          <w:szCs w:val="24"/>
        </w:rPr>
        <w:t>under reduplication, lest there be true contradictions.</w:t>
      </w:r>
      <w:r>
        <w:rPr>
          <w:rFonts w:ascii="Times New Roman" w:eastAsia="Times New Roman" w:hAnsi="Times New Roman" w:cs="Times New Roman"/>
          <w:sz w:val="24"/>
          <w:szCs w:val="24"/>
          <w:vertAlign w:val="superscript"/>
        </w:rPr>
        <w:footnoteReference w:id="68"/>
      </w:r>
      <w:r>
        <w:rPr>
          <w:rFonts w:ascii="Times New Roman" w:eastAsia="Times New Roman" w:hAnsi="Times New Roman" w:cs="Times New Roman"/>
          <w:sz w:val="24"/>
          <w:szCs w:val="24"/>
        </w:rPr>
        <w:t xml:space="preserve"> By contrast, Cajetan insists that there is only one </w:t>
      </w:r>
      <w:r>
        <w:rPr>
          <w:rFonts w:ascii="Times New Roman" w:eastAsia="Times New Roman" w:hAnsi="Times New Roman" w:cs="Times New Roman"/>
          <w:i/>
          <w:sz w:val="24"/>
          <w:szCs w:val="24"/>
        </w:rPr>
        <w:t xml:space="preserve">ratio </w:t>
      </w:r>
      <w:r>
        <w:rPr>
          <w:rFonts w:ascii="Times New Roman" w:eastAsia="Times New Roman" w:hAnsi="Times New Roman" w:cs="Times New Roman"/>
          <w:sz w:val="24"/>
          <w:szCs w:val="24"/>
        </w:rPr>
        <w:t xml:space="preserve">in the divine entity (at least, prior to any act of the intellect), and this one </w:t>
      </w:r>
      <w:r>
        <w:rPr>
          <w:rFonts w:ascii="Times New Roman" w:eastAsia="Times New Roman" w:hAnsi="Times New Roman" w:cs="Times New Roman"/>
          <w:i/>
          <w:sz w:val="24"/>
          <w:szCs w:val="24"/>
        </w:rPr>
        <w:t>ratio</w:t>
      </w:r>
      <w:r>
        <w:rPr>
          <w:rFonts w:ascii="Times New Roman" w:eastAsia="Times New Roman" w:hAnsi="Times New Roman" w:cs="Times New Roman"/>
          <w:sz w:val="24"/>
          <w:szCs w:val="24"/>
        </w:rPr>
        <w:t xml:space="preserve"> is both communicable and incommunicable. The most straightforward way of interpreting this is that Cajetan simply holds that, in God, there can be (logical) inconsistencies: the one divine entity, with its single </w:t>
      </w:r>
      <w:r>
        <w:rPr>
          <w:rFonts w:ascii="Times New Roman" w:eastAsia="Times New Roman" w:hAnsi="Times New Roman" w:cs="Times New Roman"/>
          <w:i/>
          <w:sz w:val="24"/>
          <w:szCs w:val="24"/>
        </w:rPr>
        <w:t>ratio</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is both communicable and incommunicable. </w:t>
      </w:r>
      <w:proofErr w:type="gramStart"/>
      <w:r>
        <w:rPr>
          <w:rFonts w:ascii="Times New Roman" w:eastAsia="Times New Roman" w:hAnsi="Times New Roman" w:cs="Times New Roman"/>
          <w:sz w:val="24"/>
          <w:szCs w:val="24"/>
        </w:rPr>
        <w:t>Thus</w:t>
      </w:r>
      <w:proofErr w:type="gramEnd"/>
      <w:r>
        <w:rPr>
          <w:rFonts w:ascii="Times New Roman" w:eastAsia="Times New Roman" w:hAnsi="Times New Roman" w:cs="Times New Roman"/>
          <w:sz w:val="24"/>
          <w:szCs w:val="24"/>
        </w:rPr>
        <w:t xml:space="preserve"> Cajetan is advancing a version of the inconsistency strategy.</w:t>
      </w:r>
    </w:p>
    <w:p w14:paraId="0000005E" w14:textId="77777777" w:rsidR="008D1538"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Another version of the inconsistency strategy is advanced by the Nominalist Jesuits Rodrigo Arriaga and Francisco Oviedo. In Arriaga’s explanation of how the virtual distinction allows one to reject the first premise, he says that the virtual distinction here “[...] consists precisely in this, that two predicates of themselves contradictory really and truly agree with the same indivisible entity and with one real formality.”</w:t>
      </w:r>
      <w:r>
        <w:rPr>
          <w:rFonts w:ascii="Times New Roman" w:eastAsia="Times New Roman" w:hAnsi="Times New Roman" w:cs="Times New Roman"/>
          <w:sz w:val="24"/>
          <w:szCs w:val="24"/>
          <w:vertAlign w:val="superscript"/>
        </w:rPr>
        <w:footnoteReference w:id="69"/>
      </w:r>
      <w:r>
        <w:rPr>
          <w:rFonts w:ascii="Times New Roman" w:eastAsia="Times New Roman" w:hAnsi="Times New Roman" w:cs="Times New Roman"/>
          <w:sz w:val="24"/>
          <w:szCs w:val="24"/>
        </w:rPr>
        <w:t xml:space="preserve"> According to Arriaga, </w:t>
      </w:r>
      <w:r>
        <w:rPr>
          <w:rFonts w:ascii="Times New Roman" w:eastAsia="Times New Roman" w:hAnsi="Times New Roman" w:cs="Times New Roman"/>
          <w:i/>
          <w:sz w:val="24"/>
          <w:szCs w:val="24"/>
        </w:rPr>
        <w:t xml:space="preserve">contradictory predicates </w:t>
      </w:r>
      <w:r>
        <w:rPr>
          <w:rFonts w:ascii="Times New Roman" w:eastAsia="Times New Roman" w:hAnsi="Times New Roman" w:cs="Times New Roman"/>
          <w:sz w:val="24"/>
          <w:szCs w:val="24"/>
        </w:rPr>
        <w:t>(that is, predicates contradictory “of themselves”) are truly said</w:t>
      </w:r>
      <w:r>
        <w:rPr>
          <w:rFonts w:ascii="Times New Roman" w:eastAsia="Times New Roman" w:hAnsi="Times New Roman" w:cs="Times New Roman"/>
          <w:i/>
          <w:sz w:val="24"/>
          <w:szCs w:val="24"/>
        </w:rPr>
        <w:t xml:space="preserve"> of one and the same thing</w:t>
      </w:r>
      <w:r>
        <w:rPr>
          <w:rFonts w:ascii="Times New Roman" w:eastAsia="Times New Roman" w:hAnsi="Times New Roman" w:cs="Times New Roman"/>
          <w:sz w:val="24"/>
          <w:szCs w:val="24"/>
        </w:rPr>
        <w:t xml:space="preserve">–i.e., the divine nature(/paternity). Is this a version of the inconsistency strategy? </w:t>
      </w:r>
    </w:p>
    <w:p w14:paraId="0000005F" w14:textId="77777777" w:rsidR="008D1538"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Note that Arriaga says only </w:t>
      </w:r>
      <w:proofErr w:type="gramStart"/>
      <w:r>
        <w:rPr>
          <w:rFonts w:ascii="Times New Roman" w:eastAsia="Times New Roman" w:hAnsi="Times New Roman" w:cs="Times New Roman"/>
          <w:sz w:val="24"/>
          <w:szCs w:val="24"/>
        </w:rPr>
        <w:t>that contradictory predicates</w:t>
      </w:r>
      <w:proofErr w:type="gramEnd"/>
      <w:r>
        <w:rPr>
          <w:rFonts w:ascii="Times New Roman" w:eastAsia="Times New Roman" w:hAnsi="Times New Roman" w:cs="Times New Roman"/>
          <w:sz w:val="24"/>
          <w:szCs w:val="24"/>
        </w:rPr>
        <w:t xml:space="preserve"> (that is, predicates contradictory “of themselves”) are true of the divine nature: the predicate ‘is communicable’ is true of the divine nature, and the predicate ‘is not communicable’ is true of the divine nature. It is natural to read this as committing Arriaga to an outright contradiction, just like Cajetan, but this is so only if Arriaga is also committed to something like the following principle:</w:t>
      </w:r>
    </w:p>
    <w:p w14:paraId="00000060" w14:textId="77777777" w:rsidR="008D1538" w:rsidRDefault="00000000">
      <w:pPr>
        <w:numPr>
          <w:ilvl w:val="0"/>
          <w:numId w:val="2"/>
        </w:numPr>
        <w:spacing w:before="240" w:after="240"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Disquotation</w:t>
      </w:r>
      <w:proofErr w:type="spellEnd"/>
      <w:r>
        <w:rPr>
          <w:rFonts w:ascii="Times New Roman" w:eastAsia="Times New Roman" w:hAnsi="Times New Roman" w:cs="Times New Roman"/>
          <w:sz w:val="24"/>
          <w:szCs w:val="24"/>
        </w:rPr>
        <w:t>: If ‘is F’ is true of x, then x is F.</w:t>
      </w:r>
      <w:r>
        <w:rPr>
          <w:rFonts w:ascii="Times New Roman" w:eastAsia="Times New Roman" w:hAnsi="Times New Roman" w:cs="Times New Roman"/>
          <w:sz w:val="24"/>
          <w:szCs w:val="24"/>
          <w:vertAlign w:val="superscript"/>
        </w:rPr>
        <w:footnoteReference w:id="70"/>
      </w:r>
    </w:p>
    <w:p w14:paraId="00000061" w14:textId="77777777" w:rsidR="008D1538"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given </w:t>
      </w:r>
      <w:proofErr w:type="spellStart"/>
      <w:r>
        <w:rPr>
          <w:rFonts w:ascii="Times New Roman" w:eastAsia="Times New Roman" w:hAnsi="Times New Roman" w:cs="Times New Roman"/>
          <w:sz w:val="24"/>
          <w:szCs w:val="24"/>
        </w:rPr>
        <w:t>Disquotation</w:t>
      </w:r>
      <w:proofErr w:type="spellEnd"/>
      <w:r>
        <w:rPr>
          <w:rFonts w:ascii="Times New Roman" w:eastAsia="Times New Roman" w:hAnsi="Times New Roman" w:cs="Times New Roman"/>
          <w:sz w:val="24"/>
          <w:szCs w:val="24"/>
        </w:rPr>
        <w:t xml:space="preserve">, ‘is communicable’ and ‘is incommunicable’ are both true of the divine nature only if the divine nature is communicable and not communicable. </w:t>
      </w:r>
    </w:p>
    <w:p w14:paraId="00000062" w14:textId="77777777" w:rsidR="008D1538" w:rsidRDefault="00000000">
      <w:pPr>
        <w:spacing w:before="240" w:after="240"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Disquotation</w:t>
      </w:r>
      <w:proofErr w:type="spellEnd"/>
      <w:r>
        <w:rPr>
          <w:rFonts w:ascii="Times New Roman" w:eastAsia="Times New Roman" w:hAnsi="Times New Roman" w:cs="Times New Roman"/>
          <w:sz w:val="24"/>
          <w:szCs w:val="24"/>
        </w:rPr>
        <w:t xml:space="preserve"> is an intuitively compelling principle. Furthermore, we know of no grounds for suspecting that Arriaga would deny it. Thus, we think a natural interpretation of Arriaga counts him, like Cajetan, as an inconsistency theorist.</w:t>
      </w:r>
      <w:r>
        <w:rPr>
          <w:rFonts w:ascii="Times New Roman" w:eastAsia="Times New Roman" w:hAnsi="Times New Roman" w:cs="Times New Roman"/>
          <w:sz w:val="24"/>
          <w:szCs w:val="24"/>
          <w:vertAlign w:val="superscript"/>
        </w:rPr>
        <w:footnoteReference w:id="71"/>
      </w:r>
      <w:r>
        <w:rPr>
          <w:rFonts w:ascii="Times New Roman" w:eastAsia="Times New Roman" w:hAnsi="Times New Roman" w:cs="Times New Roman"/>
          <w:sz w:val="24"/>
          <w:szCs w:val="24"/>
        </w:rPr>
        <w:t xml:space="preserve"> </w:t>
      </w:r>
    </w:p>
    <w:p w14:paraId="00000063" w14:textId="77777777" w:rsidR="008D1538"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it should be noted that Arriaga and Oviedo both appear to deny that their view commits them to outright contradictions. For while they maintain that the predicates ‘is communicable’ and ‘is not communicable’ are both true of the divine essence, they deny that these predicates are, as it were, </w:t>
      </w:r>
      <w:proofErr w:type="gramStart"/>
      <w:r>
        <w:rPr>
          <w:rFonts w:ascii="Times New Roman" w:eastAsia="Times New Roman" w:hAnsi="Times New Roman" w:cs="Times New Roman"/>
          <w:i/>
          <w:sz w:val="24"/>
          <w:szCs w:val="24"/>
        </w:rPr>
        <w:t xml:space="preserve">really </w:t>
      </w:r>
      <w:r>
        <w:rPr>
          <w:rFonts w:ascii="Times New Roman" w:eastAsia="Times New Roman" w:hAnsi="Times New Roman" w:cs="Times New Roman"/>
          <w:sz w:val="24"/>
          <w:szCs w:val="24"/>
        </w:rPr>
        <w:t>contradictory</w:t>
      </w:r>
      <w:proofErr w:type="gramEnd"/>
      <w:r>
        <w:rPr>
          <w:rFonts w:ascii="Times New Roman" w:eastAsia="Times New Roman" w:hAnsi="Times New Roman" w:cs="Times New Roman"/>
          <w:sz w:val="24"/>
          <w:szCs w:val="24"/>
        </w:rPr>
        <w:t>; Arriaga maintains that these predicates “are not formally and actually contradictory.”</w:t>
      </w:r>
      <w:r>
        <w:rPr>
          <w:rFonts w:ascii="Times New Roman" w:eastAsia="Times New Roman" w:hAnsi="Times New Roman" w:cs="Times New Roman"/>
          <w:sz w:val="24"/>
          <w:szCs w:val="24"/>
          <w:vertAlign w:val="superscript"/>
        </w:rPr>
        <w:footnoteReference w:id="72"/>
      </w:r>
      <w:r>
        <w:rPr>
          <w:rFonts w:ascii="Times New Roman" w:eastAsia="Times New Roman" w:hAnsi="Times New Roman" w:cs="Times New Roman"/>
          <w:sz w:val="24"/>
          <w:szCs w:val="24"/>
        </w:rPr>
        <w:t xml:space="preserve"> Here’s Arriaga’s explanation:</w:t>
      </w:r>
      <w:r>
        <w:rPr>
          <w:rFonts w:ascii="Times New Roman" w:eastAsia="Times New Roman" w:hAnsi="Times New Roman" w:cs="Times New Roman"/>
          <w:sz w:val="24"/>
          <w:szCs w:val="24"/>
          <w:vertAlign w:val="superscript"/>
        </w:rPr>
        <w:footnoteReference w:id="73"/>
      </w:r>
    </w:p>
    <w:p w14:paraId="00000064" w14:textId="77777777" w:rsidR="008D1538" w:rsidRDefault="00000000">
      <w:pPr>
        <w:spacing w:before="240" w:after="24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For just as ‘to run’ and ‘not to run’ are predicates contradictory of themselves if they fall on really distinct things–for example ‘Peter runs’ and ‘Paul does not run’–they now cease to be contradictory, because the subject is two-fold; thus in our case, although the subject is not two-fold, because the subject has this virtual distinction [they now cease to be contradictory].</w:t>
      </w:r>
    </w:p>
    <w:p w14:paraId="00000065" w14:textId="77777777" w:rsidR="008D1538"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 even though ‘is communicable’ and ‘is not communicable’ are “contradictory of themselves”, they are not “contradictory” when predicated of one and the same thing, </w:t>
      </w:r>
      <w:proofErr w:type="gramStart"/>
      <w:r>
        <w:rPr>
          <w:rFonts w:ascii="Times New Roman" w:eastAsia="Times New Roman" w:hAnsi="Times New Roman" w:cs="Times New Roman"/>
          <w:sz w:val="24"/>
          <w:szCs w:val="24"/>
        </w:rPr>
        <w:t>provided that</w:t>
      </w:r>
      <w:proofErr w:type="gramEnd"/>
      <w:r>
        <w:rPr>
          <w:rFonts w:ascii="Times New Roman" w:eastAsia="Times New Roman" w:hAnsi="Times New Roman" w:cs="Times New Roman"/>
          <w:sz w:val="24"/>
          <w:szCs w:val="24"/>
        </w:rPr>
        <w:t xml:space="preserve"> there is a virtual distinction. Oviedo says the same even more starkly: “It does not suffice for a contradiction to be of the same indistinctly formally, but it also needs to be of the same indistinctly virtually or not distinctly virtually.”</w:t>
      </w:r>
      <w:r>
        <w:rPr>
          <w:rFonts w:ascii="Times New Roman" w:eastAsia="Times New Roman" w:hAnsi="Times New Roman" w:cs="Times New Roman"/>
          <w:sz w:val="24"/>
          <w:szCs w:val="24"/>
          <w:vertAlign w:val="superscript"/>
        </w:rPr>
        <w:footnoteReference w:id="74"/>
      </w:r>
      <w:r>
        <w:rPr>
          <w:rFonts w:ascii="Times New Roman" w:eastAsia="Times New Roman" w:hAnsi="Times New Roman" w:cs="Times New Roman"/>
          <w:sz w:val="24"/>
          <w:szCs w:val="24"/>
        </w:rPr>
        <w:t xml:space="preserve"> On their view, apparently contradictory predicates are only </w:t>
      </w:r>
      <w:proofErr w:type="gramStart"/>
      <w:r>
        <w:rPr>
          <w:rFonts w:ascii="Times New Roman" w:eastAsia="Times New Roman" w:hAnsi="Times New Roman" w:cs="Times New Roman"/>
          <w:i/>
          <w:sz w:val="24"/>
          <w:szCs w:val="24"/>
        </w:rPr>
        <w:t xml:space="preserve">really </w:t>
      </w:r>
      <w:r>
        <w:rPr>
          <w:rFonts w:ascii="Times New Roman" w:eastAsia="Times New Roman" w:hAnsi="Times New Roman" w:cs="Times New Roman"/>
          <w:sz w:val="24"/>
          <w:szCs w:val="24"/>
        </w:rPr>
        <w:t>contradictory</w:t>
      </w:r>
      <w:proofErr w:type="gramEnd"/>
      <w:r>
        <w:rPr>
          <w:rFonts w:ascii="Times New Roman" w:eastAsia="Times New Roman" w:hAnsi="Times New Roman" w:cs="Times New Roman"/>
          <w:sz w:val="24"/>
          <w:szCs w:val="24"/>
        </w:rPr>
        <w:t xml:space="preserve"> in the absence of a virtual distinction.</w:t>
      </w:r>
    </w:p>
    <w:p w14:paraId="00000066" w14:textId="77777777" w:rsidR="008D1538"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Notwithstanding this insistence from Arriaga and Oviedo, it’s important at this point not to be diverted into a merely verbal dispute. For the views under discussion to be inconsistent (in our sense) it suffices that they are committed to the following:</w:t>
      </w:r>
    </w:p>
    <w:p w14:paraId="00000067" w14:textId="77777777" w:rsidR="008D1538" w:rsidRDefault="00000000">
      <w:pPr>
        <w:numPr>
          <w:ilvl w:val="0"/>
          <w:numId w:val="4"/>
        </w:num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divine essence is </w:t>
      </w:r>
      <w:proofErr w:type="gramStart"/>
      <w:r>
        <w:rPr>
          <w:rFonts w:ascii="Times New Roman" w:eastAsia="Times New Roman" w:hAnsi="Times New Roman" w:cs="Times New Roman"/>
          <w:sz w:val="24"/>
          <w:szCs w:val="24"/>
        </w:rPr>
        <w:t>communicable</w:t>
      </w:r>
      <w:proofErr w:type="gramEnd"/>
      <w:r>
        <w:rPr>
          <w:rFonts w:ascii="Times New Roman" w:eastAsia="Times New Roman" w:hAnsi="Times New Roman" w:cs="Times New Roman"/>
          <w:sz w:val="24"/>
          <w:szCs w:val="24"/>
        </w:rPr>
        <w:t xml:space="preserve"> and the divine essence is not communicable</w:t>
      </w:r>
    </w:p>
    <w:p w14:paraId="00000068" w14:textId="77777777" w:rsidR="008D1538"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this they clearly </w:t>
      </w:r>
      <w:r>
        <w:rPr>
          <w:rFonts w:ascii="Times New Roman" w:eastAsia="Times New Roman" w:hAnsi="Times New Roman" w:cs="Times New Roman"/>
          <w:i/>
          <w:sz w:val="24"/>
          <w:szCs w:val="24"/>
        </w:rPr>
        <w:t xml:space="preserve">are </w:t>
      </w:r>
      <w:r>
        <w:rPr>
          <w:rFonts w:ascii="Times New Roman" w:eastAsia="Times New Roman" w:hAnsi="Times New Roman" w:cs="Times New Roman"/>
          <w:sz w:val="24"/>
          <w:szCs w:val="24"/>
        </w:rPr>
        <w:t xml:space="preserve">committed to. An argument suffices to establish this: they tell us that some one thing–the divine essence(/paternity)–is such that ‘is communicable’ and ‘is not communicable’ are both true of it; by the relevant instances of </w:t>
      </w:r>
      <w:proofErr w:type="spellStart"/>
      <w:r>
        <w:rPr>
          <w:rFonts w:ascii="Times New Roman" w:eastAsia="Times New Roman" w:hAnsi="Times New Roman" w:cs="Times New Roman"/>
          <w:sz w:val="24"/>
          <w:szCs w:val="24"/>
        </w:rPr>
        <w:t>Disquotation</w:t>
      </w:r>
      <w:proofErr w:type="spellEnd"/>
      <w:r>
        <w:rPr>
          <w:rFonts w:ascii="Times New Roman" w:eastAsia="Times New Roman" w:hAnsi="Times New Roman" w:cs="Times New Roman"/>
          <w:sz w:val="24"/>
          <w:szCs w:val="24"/>
        </w:rPr>
        <w:t xml:space="preserve">, then, it follows that the divine essence is </w:t>
      </w:r>
      <w:proofErr w:type="gramStart"/>
      <w:r>
        <w:rPr>
          <w:rFonts w:ascii="Times New Roman" w:eastAsia="Times New Roman" w:hAnsi="Times New Roman" w:cs="Times New Roman"/>
          <w:sz w:val="24"/>
          <w:szCs w:val="24"/>
        </w:rPr>
        <w:t>communicable</w:t>
      </w:r>
      <w:proofErr w:type="gramEnd"/>
      <w:r>
        <w:rPr>
          <w:rFonts w:ascii="Times New Roman" w:eastAsia="Times New Roman" w:hAnsi="Times New Roman" w:cs="Times New Roman"/>
          <w:sz w:val="24"/>
          <w:szCs w:val="24"/>
        </w:rPr>
        <w:t xml:space="preserve"> and the divine essence is not communicable. Note that the conclusion of this argument is </w:t>
      </w:r>
      <w:r>
        <w:rPr>
          <w:rFonts w:ascii="Times New Roman" w:eastAsia="Times New Roman" w:hAnsi="Times New Roman" w:cs="Times New Roman"/>
          <w:i/>
          <w:sz w:val="24"/>
          <w:szCs w:val="24"/>
        </w:rPr>
        <w:t xml:space="preserve">not </w:t>
      </w:r>
      <w:r>
        <w:rPr>
          <w:rFonts w:ascii="Times New Roman" w:eastAsia="Times New Roman" w:hAnsi="Times New Roman" w:cs="Times New Roman"/>
          <w:sz w:val="24"/>
          <w:szCs w:val="24"/>
        </w:rPr>
        <w:t xml:space="preserve">that “contradictory predicates” are true of the divine essence; rather, the conclusion is simply a contradiction! (That is, a contradiction </w:t>
      </w:r>
      <w:r>
        <w:rPr>
          <w:rFonts w:ascii="Times New Roman" w:eastAsia="Times New Roman" w:hAnsi="Times New Roman" w:cs="Times New Roman"/>
          <w:i/>
          <w:sz w:val="24"/>
          <w:szCs w:val="24"/>
        </w:rPr>
        <w:t>in our sense</w:t>
      </w:r>
      <w:r>
        <w:rPr>
          <w:rFonts w:ascii="Times New Roman" w:eastAsia="Times New Roman" w:hAnsi="Times New Roman" w:cs="Times New Roman"/>
          <w:sz w:val="24"/>
          <w:szCs w:val="24"/>
        </w:rPr>
        <w:t xml:space="preserve">.) That Arriaga and Oviedo are committed to a contradiction is not in serious question, we think. There are live questions here about what ought to count as “a contradiction”, or about what it takes for </w:t>
      </w:r>
      <w:r>
        <w:rPr>
          <w:rFonts w:ascii="Times New Roman" w:eastAsia="Times New Roman" w:hAnsi="Times New Roman" w:cs="Times New Roman"/>
          <w:sz w:val="24"/>
          <w:szCs w:val="24"/>
        </w:rPr>
        <w:lastRenderedPageBreak/>
        <w:t>predicates true of one and the same thing to be “contradictory”, but a dispute over these questions would be merely verbal. That Arriaga and Oviedo are committed to a contradiction (in our sense) is the important point for our purposes. On our reading, then, Arriaga and Oviedo advance an inconsistency strategy, like Cajetan, notwithstanding what appear to be explicit claims to the contrary.</w:t>
      </w:r>
    </w:p>
    <w:p w14:paraId="00000069" w14:textId="77777777" w:rsidR="008D1538"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any rate, for inconsistency theorists, it is clear how the virtual distinction functions in denying the first premise of the Achilles: to say that paternity and the essence are virtually distinct on this view is to say that the divine entity, from its infinite perfection, </w:t>
      </w:r>
      <w:proofErr w:type="gramStart"/>
      <w:r>
        <w:rPr>
          <w:rFonts w:ascii="Times New Roman" w:eastAsia="Times New Roman" w:hAnsi="Times New Roman" w:cs="Times New Roman"/>
          <w:sz w:val="24"/>
          <w:szCs w:val="24"/>
        </w:rPr>
        <w:t>is capable of bearing</w:t>
      </w:r>
      <w:proofErr w:type="gramEnd"/>
      <w:r>
        <w:rPr>
          <w:rFonts w:ascii="Times New Roman" w:eastAsia="Times New Roman" w:hAnsi="Times New Roman" w:cs="Times New Roman"/>
          <w:sz w:val="24"/>
          <w:szCs w:val="24"/>
        </w:rPr>
        <w:t xml:space="preserve"> true contradictions, such as that the divine essence is both communicable and not communicable.</w:t>
      </w:r>
    </w:p>
    <w:p w14:paraId="0000006A" w14:textId="77777777" w:rsidR="008D1538"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are we to evaluate inconsistency responses to the Achilles? They are not apparently theologically unorthodox; nor do they change the subject, as versions of the reduplication strategy seemed to do. But accepting outright contradictions is, if anything, as bad as it can get for advocates of the virtual distinction: the </w:t>
      </w:r>
      <w:proofErr w:type="spellStart"/>
      <w:r>
        <w:rPr>
          <w:rFonts w:ascii="Times New Roman" w:eastAsia="Times New Roman" w:hAnsi="Times New Roman" w:cs="Times New Roman"/>
          <w:sz w:val="24"/>
          <w:szCs w:val="24"/>
        </w:rPr>
        <w:t>Scotists</w:t>
      </w:r>
      <w:proofErr w:type="spellEnd"/>
      <w:r>
        <w:rPr>
          <w:rFonts w:ascii="Times New Roman" w:eastAsia="Times New Roman" w:hAnsi="Times New Roman" w:cs="Times New Roman"/>
          <w:sz w:val="24"/>
          <w:szCs w:val="24"/>
        </w:rPr>
        <w:t xml:space="preserve"> can sleep well knowing that, even if their view can be resisted, it can’t be </w:t>
      </w:r>
      <w:r>
        <w:rPr>
          <w:rFonts w:ascii="Times New Roman" w:eastAsia="Times New Roman" w:hAnsi="Times New Roman" w:cs="Times New Roman"/>
          <w:i/>
          <w:sz w:val="24"/>
          <w:szCs w:val="24"/>
        </w:rPr>
        <w:t xml:space="preserve">consistently </w:t>
      </w:r>
      <w:r>
        <w:rPr>
          <w:rFonts w:ascii="Times New Roman" w:eastAsia="Times New Roman" w:hAnsi="Times New Roman" w:cs="Times New Roman"/>
          <w:sz w:val="24"/>
          <w:szCs w:val="24"/>
        </w:rPr>
        <w:t>resisted. It also leads to grave problems, given either classical or Aristotelian logic. Here’s Leibniz’s harsh judgment against Fabri:</w:t>
      </w:r>
    </w:p>
    <w:p w14:paraId="0000006B" w14:textId="77777777" w:rsidR="008D1538" w:rsidRDefault="00000000">
      <w:pPr>
        <w:spacing w:before="240" w:after="24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have here a defendant confessing that in divine matters there is no room for the principle of contradiction, since according to him it is grounded only in created things, even though this principle must hold wherever there is truth and falsity. What do the atheists and anti-Trinitarians listen to with more pleasure? Therefore, nothing absurd is non-assertible concerning divine matters, and there is no room in this sphere for refutation or reasoning …. it would be </w:t>
      </w:r>
      <w:proofErr w:type="gramStart"/>
      <w:r>
        <w:rPr>
          <w:rFonts w:ascii="Times New Roman" w:eastAsia="Times New Roman" w:hAnsi="Times New Roman" w:cs="Times New Roman"/>
          <w:sz w:val="24"/>
          <w:szCs w:val="24"/>
        </w:rPr>
        <w:t>more prudent and sane</w:t>
      </w:r>
      <w:proofErr w:type="gramEnd"/>
      <w:r>
        <w:rPr>
          <w:rFonts w:ascii="Times New Roman" w:eastAsia="Times New Roman" w:hAnsi="Times New Roman" w:cs="Times New Roman"/>
          <w:sz w:val="24"/>
          <w:szCs w:val="24"/>
        </w:rPr>
        <w:t xml:space="preserve"> to say that neither in divine nor in created matters contradictory propositions should be admitted.</w:t>
      </w:r>
      <w:r>
        <w:rPr>
          <w:rFonts w:ascii="Times New Roman" w:eastAsia="Times New Roman" w:hAnsi="Times New Roman" w:cs="Times New Roman"/>
          <w:sz w:val="24"/>
          <w:szCs w:val="24"/>
          <w:vertAlign w:val="superscript"/>
        </w:rPr>
        <w:footnoteReference w:id="75"/>
      </w:r>
    </w:p>
    <w:p w14:paraId="0000006C" w14:textId="77777777" w:rsidR="008D1538"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Even if Leibniz’s denunciations are venomous, the costs accruing to the inconsistency theorists need to be registered.</w:t>
      </w:r>
      <w:r>
        <w:rPr>
          <w:rFonts w:ascii="Times New Roman" w:eastAsia="Times New Roman" w:hAnsi="Times New Roman" w:cs="Times New Roman"/>
          <w:sz w:val="24"/>
          <w:szCs w:val="24"/>
          <w:vertAlign w:val="superscript"/>
        </w:rPr>
        <w:footnoteReference w:id="76"/>
      </w:r>
    </w:p>
    <w:p w14:paraId="0000006D" w14:textId="77777777" w:rsidR="008D1538"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Happily, there is yet another way of reading Arriaga which connects with the last strategy we will consider–</w:t>
      </w:r>
      <w:proofErr w:type="spellStart"/>
      <w:r>
        <w:rPr>
          <w:rFonts w:ascii="Times New Roman" w:eastAsia="Times New Roman" w:hAnsi="Times New Roman" w:cs="Times New Roman"/>
          <w:i/>
          <w:sz w:val="24"/>
          <w:szCs w:val="24"/>
        </w:rPr>
        <w:t>mysterian</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responses to the Achilles. </w:t>
      </w:r>
      <w:proofErr w:type="spellStart"/>
      <w:r>
        <w:rPr>
          <w:rFonts w:ascii="Times New Roman" w:eastAsia="Times New Roman" w:hAnsi="Times New Roman" w:cs="Times New Roman"/>
          <w:sz w:val="24"/>
          <w:szCs w:val="24"/>
        </w:rPr>
        <w:t>Mysterian</w:t>
      </w:r>
      <w:proofErr w:type="spellEnd"/>
      <w:r>
        <w:rPr>
          <w:rFonts w:ascii="Times New Roman" w:eastAsia="Times New Roman" w:hAnsi="Times New Roman" w:cs="Times New Roman"/>
          <w:sz w:val="24"/>
          <w:szCs w:val="24"/>
        </w:rPr>
        <w:t xml:space="preserve"> responses, as we understand them, involve rejecting the first premise without anything like an </w:t>
      </w:r>
      <w:r>
        <w:rPr>
          <w:rFonts w:ascii="Times New Roman" w:eastAsia="Times New Roman" w:hAnsi="Times New Roman" w:cs="Times New Roman"/>
          <w:i/>
          <w:sz w:val="24"/>
          <w:szCs w:val="24"/>
        </w:rPr>
        <w:t>explanation</w:t>
      </w:r>
      <w:r>
        <w:rPr>
          <w:rFonts w:ascii="Times New Roman" w:eastAsia="Times New Roman" w:hAnsi="Times New Roman" w:cs="Times New Roman"/>
          <w:sz w:val="24"/>
          <w:szCs w:val="24"/>
        </w:rPr>
        <w:t xml:space="preserve"> for why the first premise is false. Nonetheless, the idea is that the first premise </w:t>
      </w:r>
      <w:r>
        <w:rPr>
          <w:rFonts w:ascii="Times New Roman" w:eastAsia="Times New Roman" w:hAnsi="Times New Roman" w:cs="Times New Roman"/>
          <w:i/>
          <w:sz w:val="24"/>
          <w:szCs w:val="24"/>
        </w:rPr>
        <w:t>must</w:t>
      </w:r>
      <w:r>
        <w:rPr>
          <w:rFonts w:ascii="Times New Roman" w:eastAsia="Times New Roman" w:hAnsi="Times New Roman" w:cs="Times New Roman"/>
          <w:sz w:val="24"/>
          <w:szCs w:val="24"/>
        </w:rPr>
        <w:t xml:space="preserve"> be false, because the Achilles argument is valid, the second premise is true, and the conclusion is unacceptable (at least if you’re not a </w:t>
      </w:r>
      <w:proofErr w:type="spellStart"/>
      <w:r>
        <w:rPr>
          <w:rFonts w:ascii="Times New Roman" w:eastAsia="Times New Roman" w:hAnsi="Times New Roman" w:cs="Times New Roman"/>
          <w:sz w:val="24"/>
          <w:szCs w:val="24"/>
        </w:rPr>
        <w:t>Scotist</w:t>
      </w:r>
      <w:proofErr w:type="spellEnd"/>
      <w:r>
        <w:rPr>
          <w:rFonts w:ascii="Times New Roman" w:eastAsia="Times New Roman" w:hAnsi="Times New Roman" w:cs="Times New Roman"/>
          <w:sz w:val="24"/>
          <w:szCs w:val="24"/>
        </w:rPr>
        <w:t xml:space="preserve">.) This is </w:t>
      </w:r>
      <w:proofErr w:type="gramStart"/>
      <w:r>
        <w:rPr>
          <w:rFonts w:ascii="Times New Roman" w:eastAsia="Times New Roman" w:hAnsi="Times New Roman" w:cs="Times New Roman"/>
          <w:sz w:val="24"/>
          <w:szCs w:val="24"/>
        </w:rPr>
        <w:t>pretty unsatisfying</w:t>
      </w:r>
      <w:proofErr w:type="gramEnd"/>
      <w:r>
        <w:rPr>
          <w:rFonts w:ascii="Times New Roman" w:eastAsia="Times New Roman" w:hAnsi="Times New Roman" w:cs="Times New Roman"/>
          <w:sz w:val="24"/>
          <w:szCs w:val="24"/>
        </w:rPr>
        <w:t xml:space="preserve"> all on its own. The </w:t>
      </w:r>
      <w:proofErr w:type="spellStart"/>
      <w:r>
        <w:rPr>
          <w:rFonts w:ascii="Times New Roman" w:eastAsia="Times New Roman" w:hAnsi="Times New Roman" w:cs="Times New Roman"/>
          <w:sz w:val="24"/>
          <w:szCs w:val="24"/>
        </w:rPr>
        <w:t>mysterian</w:t>
      </w:r>
      <w:proofErr w:type="spellEnd"/>
      <w:r>
        <w:rPr>
          <w:rFonts w:ascii="Times New Roman" w:eastAsia="Times New Roman" w:hAnsi="Times New Roman" w:cs="Times New Roman"/>
          <w:sz w:val="24"/>
          <w:szCs w:val="24"/>
        </w:rPr>
        <w:t xml:space="preserve"> response looks slightly more credible if, as its defenders tend to say, the mysteriousness in question is to be expected. As Arriaga says, shortly after the quote above, “in this </w:t>
      </w:r>
      <w:proofErr w:type="gramStart"/>
      <w:r>
        <w:rPr>
          <w:rFonts w:ascii="Times New Roman" w:eastAsia="Times New Roman" w:hAnsi="Times New Roman" w:cs="Times New Roman"/>
          <w:sz w:val="24"/>
          <w:szCs w:val="24"/>
        </w:rPr>
        <w:t>consists</w:t>
      </w:r>
      <w:proofErr w:type="gramEnd"/>
      <w:r>
        <w:rPr>
          <w:rFonts w:ascii="Times New Roman" w:eastAsia="Times New Roman" w:hAnsi="Times New Roman" w:cs="Times New Roman"/>
          <w:sz w:val="24"/>
          <w:szCs w:val="24"/>
        </w:rPr>
        <w:t xml:space="preserve"> the whole difficulty of the most abstruse and most Holy Trinity, which difficulty alone forces us to posit this [virtual] distinction.”</w:t>
      </w:r>
      <w:r>
        <w:rPr>
          <w:rFonts w:ascii="Times New Roman" w:eastAsia="Times New Roman" w:hAnsi="Times New Roman" w:cs="Times New Roman"/>
          <w:sz w:val="24"/>
          <w:szCs w:val="24"/>
          <w:vertAlign w:val="superscript"/>
        </w:rPr>
        <w:footnoteReference w:id="77"/>
      </w:r>
      <w:r>
        <w:rPr>
          <w:rFonts w:ascii="Times New Roman" w:eastAsia="Times New Roman" w:hAnsi="Times New Roman" w:cs="Times New Roman"/>
          <w:sz w:val="24"/>
          <w:szCs w:val="24"/>
        </w:rPr>
        <w:t xml:space="preserve"> </w:t>
      </w:r>
    </w:p>
    <w:p w14:paraId="0000006E" w14:textId="77777777" w:rsidR="008D1538"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As we’ve said, Arriaga’s bare admission that contradictory predicates are true of the divine essence doesn’t by itself yield an explanation for why the first premise of the Achilles is false. But if we read Arriaga as a </w:t>
      </w:r>
      <w:proofErr w:type="spellStart"/>
      <w:r>
        <w:rPr>
          <w:rFonts w:ascii="Times New Roman" w:eastAsia="Times New Roman" w:hAnsi="Times New Roman" w:cs="Times New Roman"/>
          <w:sz w:val="24"/>
          <w:szCs w:val="24"/>
        </w:rPr>
        <w:t>mysterian</w:t>
      </w:r>
      <w:proofErr w:type="spellEnd"/>
      <w:r>
        <w:rPr>
          <w:rFonts w:ascii="Times New Roman" w:eastAsia="Times New Roman" w:hAnsi="Times New Roman" w:cs="Times New Roman"/>
          <w:sz w:val="24"/>
          <w:szCs w:val="24"/>
        </w:rPr>
        <w:t xml:space="preserve">, we can understand him not as </w:t>
      </w:r>
      <w:proofErr w:type="gramStart"/>
      <w:r>
        <w:rPr>
          <w:rFonts w:ascii="Times New Roman" w:eastAsia="Times New Roman" w:hAnsi="Times New Roman" w:cs="Times New Roman"/>
          <w:sz w:val="24"/>
          <w:szCs w:val="24"/>
        </w:rPr>
        <w:t xml:space="preserve">offering an </w:t>
      </w:r>
      <w:r>
        <w:rPr>
          <w:rFonts w:ascii="Times New Roman" w:eastAsia="Times New Roman" w:hAnsi="Times New Roman" w:cs="Times New Roman"/>
          <w:i/>
          <w:sz w:val="24"/>
          <w:szCs w:val="24"/>
        </w:rPr>
        <w:t xml:space="preserve">explanation </w:t>
      </w:r>
      <w:r>
        <w:rPr>
          <w:rFonts w:ascii="Times New Roman" w:eastAsia="Times New Roman" w:hAnsi="Times New Roman" w:cs="Times New Roman"/>
          <w:sz w:val="24"/>
          <w:szCs w:val="24"/>
        </w:rPr>
        <w:t>for</w:t>
      </w:r>
      <w:proofErr w:type="gramEnd"/>
      <w:r>
        <w:rPr>
          <w:rFonts w:ascii="Times New Roman" w:eastAsia="Times New Roman" w:hAnsi="Times New Roman" w:cs="Times New Roman"/>
          <w:sz w:val="24"/>
          <w:szCs w:val="24"/>
        </w:rPr>
        <w:t xml:space="preserve"> why the first premise is false, but only as identifying an especially noteworthy </w:t>
      </w:r>
      <w:r>
        <w:rPr>
          <w:rFonts w:ascii="Times New Roman" w:eastAsia="Times New Roman" w:hAnsi="Times New Roman" w:cs="Times New Roman"/>
          <w:i/>
          <w:sz w:val="24"/>
          <w:szCs w:val="24"/>
        </w:rPr>
        <w:t xml:space="preserve">symptom </w:t>
      </w:r>
      <w:r>
        <w:rPr>
          <w:rFonts w:ascii="Times New Roman" w:eastAsia="Times New Roman" w:hAnsi="Times New Roman" w:cs="Times New Roman"/>
          <w:sz w:val="24"/>
          <w:szCs w:val="24"/>
        </w:rPr>
        <w:t xml:space="preserve">of the mysteriousness of the Trinity—i.e., contradictory predicates true of one and the same entity. Like the Trinity itself, the falsity of the first premise remains a mystery. </w:t>
      </w:r>
    </w:p>
    <w:p w14:paraId="0000006F" w14:textId="77777777" w:rsidR="008D1538"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more clear-cut </w:t>
      </w:r>
      <w:proofErr w:type="spellStart"/>
      <w:r>
        <w:rPr>
          <w:rFonts w:ascii="Times New Roman" w:eastAsia="Times New Roman" w:hAnsi="Times New Roman" w:cs="Times New Roman"/>
          <w:sz w:val="24"/>
          <w:szCs w:val="24"/>
        </w:rPr>
        <w:t>mysterian</w:t>
      </w:r>
      <w:proofErr w:type="spellEnd"/>
      <w:r>
        <w:rPr>
          <w:rFonts w:ascii="Times New Roman" w:eastAsia="Times New Roman" w:hAnsi="Times New Roman" w:cs="Times New Roman"/>
          <w:sz w:val="24"/>
          <w:szCs w:val="24"/>
        </w:rPr>
        <w:t xml:space="preserve"> is the Spanish Thomist Domingo </w:t>
      </w:r>
      <w:proofErr w:type="spellStart"/>
      <w:r>
        <w:rPr>
          <w:rFonts w:ascii="Times New Roman" w:eastAsia="Times New Roman" w:hAnsi="Times New Roman" w:cs="Times New Roman"/>
          <w:sz w:val="24"/>
          <w:szCs w:val="24"/>
        </w:rPr>
        <w:t>Báñez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Báñez</w:t>
      </w:r>
      <w:proofErr w:type="spellEnd"/>
      <w:r>
        <w:rPr>
          <w:rFonts w:ascii="Times New Roman" w:eastAsia="Times New Roman" w:hAnsi="Times New Roman" w:cs="Times New Roman"/>
          <w:sz w:val="24"/>
          <w:szCs w:val="24"/>
        </w:rPr>
        <w:t xml:space="preserve"> rejects premise 1 and continues: “For in this </w:t>
      </w:r>
      <w:proofErr w:type="gramStart"/>
      <w:r>
        <w:rPr>
          <w:rFonts w:ascii="Times New Roman" w:eastAsia="Times New Roman" w:hAnsi="Times New Roman" w:cs="Times New Roman"/>
          <w:sz w:val="24"/>
          <w:szCs w:val="24"/>
        </w:rPr>
        <w:t>consists</w:t>
      </w:r>
      <w:proofErr w:type="gramEnd"/>
      <w:r>
        <w:rPr>
          <w:rFonts w:ascii="Times New Roman" w:eastAsia="Times New Roman" w:hAnsi="Times New Roman" w:cs="Times New Roman"/>
          <w:sz w:val="24"/>
          <w:szCs w:val="24"/>
        </w:rPr>
        <w:t xml:space="preserve"> the mystery of the Trinity, that one thing most simple is three things really distinct and opposed between themselves, but having no distinction with the essence beyond a distinction of reason.”</w:t>
      </w:r>
      <w:r>
        <w:rPr>
          <w:rFonts w:ascii="Times New Roman" w:eastAsia="Times New Roman" w:hAnsi="Times New Roman" w:cs="Times New Roman"/>
          <w:sz w:val="24"/>
          <w:szCs w:val="24"/>
          <w:vertAlign w:val="superscript"/>
        </w:rPr>
        <w:footnoteReference w:id="78"/>
      </w:r>
      <w:r>
        <w:rPr>
          <w:rFonts w:ascii="Times New Roman" w:eastAsia="Times New Roman" w:hAnsi="Times New Roman" w:cs="Times New Roman"/>
          <w:sz w:val="24"/>
          <w:szCs w:val="24"/>
        </w:rPr>
        <w:t xml:space="preserve"> That’s his response. By our lights, </w:t>
      </w:r>
      <w:proofErr w:type="spellStart"/>
      <w:r>
        <w:rPr>
          <w:rFonts w:ascii="Times New Roman" w:eastAsia="Times New Roman" w:hAnsi="Times New Roman" w:cs="Times New Roman"/>
          <w:sz w:val="24"/>
          <w:szCs w:val="24"/>
        </w:rPr>
        <w:t>Báñez</w:t>
      </w:r>
      <w:proofErr w:type="spellEnd"/>
      <w:r>
        <w:rPr>
          <w:rFonts w:ascii="Times New Roman" w:eastAsia="Times New Roman" w:hAnsi="Times New Roman" w:cs="Times New Roman"/>
          <w:sz w:val="24"/>
          <w:szCs w:val="24"/>
        </w:rPr>
        <w:t xml:space="preserve"> is a </w:t>
      </w:r>
      <w:proofErr w:type="spellStart"/>
      <w:r>
        <w:rPr>
          <w:rFonts w:ascii="Times New Roman" w:eastAsia="Times New Roman" w:hAnsi="Times New Roman" w:cs="Times New Roman"/>
          <w:sz w:val="24"/>
          <w:szCs w:val="24"/>
        </w:rPr>
        <w:t>mysterian</w:t>
      </w:r>
      <w:proofErr w:type="spellEnd"/>
      <w:r>
        <w:rPr>
          <w:rFonts w:ascii="Times New Roman" w:eastAsia="Times New Roman" w:hAnsi="Times New Roman" w:cs="Times New Roman"/>
          <w:sz w:val="24"/>
          <w:szCs w:val="24"/>
        </w:rPr>
        <w:t>.</w:t>
      </w:r>
    </w:p>
    <w:p w14:paraId="00000070" w14:textId="77777777" w:rsidR="008D1538"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remains that this response to the Achilles, though it is a response, is not </w:t>
      </w:r>
      <w:r>
        <w:rPr>
          <w:rFonts w:ascii="Times New Roman" w:eastAsia="Times New Roman" w:hAnsi="Times New Roman" w:cs="Times New Roman"/>
          <w:i/>
          <w:sz w:val="24"/>
          <w:szCs w:val="24"/>
        </w:rPr>
        <w:t xml:space="preserve">much </w:t>
      </w:r>
      <w:r>
        <w:rPr>
          <w:rFonts w:ascii="Times New Roman" w:eastAsia="Times New Roman" w:hAnsi="Times New Roman" w:cs="Times New Roman"/>
          <w:sz w:val="24"/>
          <w:szCs w:val="24"/>
        </w:rPr>
        <w:t xml:space="preserve">of a response. It goes little further, dialectically, than the simple declaration that the first premise is false. Moreover, appeals to mystery are a double-edged sword. If the Trinity is so mysterious, on what grounds does the Thomist say that the mystery of the Trinity consists in the falsehood of the first premise, and not in the truth of the conclusion? (Maybe the mystery is that the </w:t>
      </w:r>
      <w:proofErr w:type="spellStart"/>
      <w:r>
        <w:rPr>
          <w:rFonts w:ascii="Times New Roman" w:eastAsia="Times New Roman" w:hAnsi="Times New Roman" w:cs="Times New Roman"/>
          <w:sz w:val="24"/>
          <w:szCs w:val="24"/>
        </w:rPr>
        <w:t>Scotists</w:t>
      </w:r>
      <w:proofErr w:type="spellEnd"/>
      <w:r>
        <w:rPr>
          <w:rFonts w:ascii="Times New Roman" w:eastAsia="Times New Roman" w:hAnsi="Times New Roman" w:cs="Times New Roman"/>
          <w:sz w:val="24"/>
          <w:szCs w:val="24"/>
        </w:rPr>
        <w:t xml:space="preserve"> are right after all!) Alternatively, if things are clear enough for the Thomists to discern that the mystery of the Trinity </w:t>
      </w:r>
      <w:r>
        <w:rPr>
          <w:rFonts w:ascii="Times New Roman" w:eastAsia="Times New Roman" w:hAnsi="Times New Roman" w:cs="Times New Roman"/>
          <w:i/>
          <w:sz w:val="24"/>
          <w:szCs w:val="24"/>
        </w:rPr>
        <w:t xml:space="preserve">really does </w:t>
      </w:r>
      <w:r>
        <w:rPr>
          <w:rFonts w:ascii="Times New Roman" w:eastAsia="Times New Roman" w:hAnsi="Times New Roman" w:cs="Times New Roman"/>
          <w:sz w:val="24"/>
          <w:szCs w:val="24"/>
        </w:rPr>
        <w:t>consist in the falsehood of the first premise, why are they unable to also furnish an explanation for this fact?</w:t>
      </w:r>
      <w:r>
        <w:rPr>
          <w:rFonts w:ascii="Times New Roman" w:eastAsia="Times New Roman" w:hAnsi="Times New Roman" w:cs="Times New Roman"/>
          <w:sz w:val="24"/>
          <w:szCs w:val="24"/>
          <w:vertAlign w:val="superscript"/>
        </w:rPr>
        <w:footnoteReference w:id="79"/>
      </w:r>
      <w:r>
        <w:rPr>
          <w:rFonts w:ascii="Times New Roman" w:eastAsia="Times New Roman" w:hAnsi="Times New Roman" w:cs="Times New Roman"/>
          <w:sz w:val="24"/>
          <w:szCs w:val="24"/>
        </w:rPr>
        <w:t xml:space="preserve"> </w:t>
      </w:r>
    </w:p>
    <w:p w14:paraId="00000071" w14:textId="77777777" w:rsidR="008D1538" w:rsidRDefault="00000000">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final challenge for the </w:t>
      </w:r>
      <w:proofErr w:type="spellStart"/>
      <w:r>
        <w:rPr>
          <w:rFonts w:ascii="Times New Roman" w:eastAsia="Times New Roman" w:hAnsi="Times New Roman" w:cs="Times New Roman"/>
          <w:sz w:val="24"/>
          <w:szCs w:val="24"/>
        </w:rPr>
        <w:t>mysterians</w:t>
      </w:r>
      <w:proofErr w:type="spellEnd"/>
      <w:r>
        <w:rPr>
          <w:rFonts w:ascii="Times New Roman" w:eastAsia="Times New Roman" w:hAnsi="Times New Roman" w:cs="Times New Roman"/>
          <w:sz w:val="24"/>
          <w:szCs w:val="24"/>
        </w:rPr>
        <w:t xml:space="preserve"> has to do with traditional Thomistic doctrines concerning faith and reason. According to Aquinas,</w:t>
      </w:r>
      <w:r>
        <w:rPr>
          <w:rFonts w:ascii="Times New Roman" w:eastAsia="Times New Roman" w:hAnsi="Times New Roman" w:cs="Times New Roman"/>
          <w:sz w:val="24"/>
          <w:szCs w:val="24"/>
          <w:vertAlign w:val="superscript"/>
        </w:rPr>
        <w:footnoteReference w:id="80"/>
      </w:r>
    </w:p>
    <w:p w14:paraId="00000072" w14:textId="77777777" w:rsidR="008D1538" w:rsidRDefault="00000000">
      <w:pPr>
        <w:spacing w:after="20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whatever arguments are brought forward against the doctrines of faith are conclusions incorrectly derived from the first and self-evident principles imbedded in nature. Such conclusions do not have the force of demonstration; they are arguments that are either probable or sophistical. And so, there exists the possibility to answer them.</w:t>
      </w:r>
    </w:p>
    <w:p w14:paraId="00000073" w14:textId="77777777" w:rsidR="008D1538" w:rsidRDefault="00000000">
      <w:pPr>
        <w:spacing w:after="20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we see, there is pressure for the Thomist to insist on just the sort of explanatory demands the </w:t>
      </w:r>
      <w:proofErr w:type="spellStart"/>
      <w:r>
        <w:rPr>
          <w:rFonts w:ascii="Times New Roman" w:eastAsia="Times New Roman" w:hAnsi="Times New Roman" w:cs="Times New Roman"/>
          <w:sz w:val="24"/>
          <w:szCs w:val="24"/>
        </w:rPr>
        <w:t>mysterian</w:t>
      </w:r>
      <w:proofErr w:type="spellEnd"/>
      <w:r>
        <w:rPr>
          <w:rFonts w:ascii="Times New Roman" w:eastAsia="Times New Roman" w:hAnsi="Times New Roman" w:cs="Times New Roman"/>
          <w:sz w:val="24"/>
          <w:szCs w:val="24"/>
        </w:rPr>
        <w:t xml:space="preserve"> solution shirks. For this reason, though the </w:t>
      </w:r>
      <w:proofErr w:type="spellStart"/>
      <w:r>
        <w:rPr>
          <w:rFonts w:ascii="Times New Roman" w:eastAsia="Times New Roman" w:hAnsi="Times New Roman" w:cs="Times New Roman"/>
          <w:sz w:val="24"/>
          <w:szCs w:val="24"/>
        </w:rPr>
        <w:t>mysterian</w:t>
      </w:r>
      <w:proofErr w:type="spellEnd"/>
      <w:r>
        <w:rPr>
          <w:rFonts w:ascii="Times New Roman" w:eastAsia="Times New Roman" w:hAnsi="Times New Roman" w:cs="Times New Roman"/>
          <w:sz w:val="24"/>
          <w:szCs w:val="24"/>
        </w:rPr>
        <w:t xml:space="preserve"> solution might have something going for it simply as a response to the Achilles, it’s questionable whether it is a response that is available to the Thomist.</w:t>
      </w:r>
      <w:r>
        <w:rPr>
          <w:rFonts w:ascii="Times New Roman" w:eastAsia="Times New Roman" w:hAnsi="Times New Roman" w:cs="Times New Roman"/>
          <w:sz w:val="24"/>
          <w:szCs w:val="24"/>
          <w:vertAlign w:val="superscript"/>
        </w:rPr>
        <w:footnoteReference w:id="81"/>
      </w:r>
    </w:p>
    <w:p w14:paraId="00000074" w14:textId="77777777" w:rsidR="008D1538"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Ultimately, we think the </w:t>
      </w:r>
      <w:proofErr w:type="spellStart"/>
      <w:r>
        <w:rPr>
          <w:rFonts w:ascii="Times New Roman" w:eastAsia="Times New Roman" w:hAnsi="Times New Roman" w:cs="Times New Roman"/>
          <w:sz w:val="24"/>
          <w:szCs w:val="24"/>
        </w:rPr>
        <w:t>mysterian</w:t>
      </w:r>
      <w:proofErr w:type="spellEnd"/>
      <w:r>
        <w:rPr>
          <w:rFonts w:ascii="Times New Roman" w:eastAsia="Times New Roman" w:hAnsi="Times New Roman" w:cs="Times New Roman"/>
          <w:sz w:val="24"/>
          <w:szCs w:val="24"/>
        </w:rPr>
        <w:t xml:space="preserve"> response is one of the Thomists’ more promising responses to the Achilles. But one thing should be clear: if it does furnish a credible response to the Achilles, it does not do this by explaining how </w:t>
      </w:r>
      <w:r>
        <w:rPr>
          <w:rFonts w:ascii="Times New Roman" w:eastAsia="Times New Roman" w:hAnsi="Times New Roman" w:cs="Times New Roman"/>
          <w:i/>
          <w:sz w:val="24"/>
          <w:szCs w:val="24"/>
        </w:rPr>
        <w:t xml:space="preserve">the virtual distinction </w:t>
      </w:r>
      <w:r>
        <w:rPr>
          <w:rFonts w:ascii="Times New Roman" w:eastAsia="Times New Roman" w:hAnsi="Times New Roman" w:cs="Times New Roman"/>
          <w:sz w:val="24"/>
          <w:szCs w:val="24"/>
        </w:rPr>
        <w:t xml:space="preserve">leverages a response to the argument. As a way of filling out a model of the virtual distinction, the </w:t>
      </w:r>
      <w:proofErr w:type="spellStart"/>
      <w:r>
        <w:rPr>
          <w:rFonts w:ascii="Times New Roman" w:eastAsia="Times New Roman" w:hAnsi="Times New Roman" w:cs="Times New Roman"/>
          <w:sz w:val="24"/>
          <w:szCs w:val="24"/>
        </w:rPr>
        <w:t>mysterian</w:t>
      </w:r>
      <w:proofErr w:type="spellEnd"/>
      <w:r>
        <w:rPr>
          <w:rFonts w:ascii="Times New Roman" w:eastAsia="Times New Roman" w:hAnsi="Times New Roman" w:cs="Times New Roman"/>
          <w:sz w:val="24"/>
          <w:szCs w:val="24"/>
        </w:rPr>
        <w:t xml:space="preserve"> solution simply gives up. </w:t>
      </w:r>
    </w:p>
    <w:p w14:paraId="00000075" w14:textId="77777777" w:rsidR="008D1538" w:rsidRDefault="00000000">
      <w:pPr>
        <w:spacing w:before="240" w:after="240"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 Conclusion</w:t>
      </w:r>
    </w:p>
    <w:p w14:paraId="00000076" w14:textId="77777777" w:rsidR="008D1538" w:rsidRDefault="00000000">
      <w:pPr>
        <w:spacing w:before="240" w:after="240" w:line="48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The disagreement over the nature of distinction was one of the most fiercely contested disputes in later scholasticism–a disagreement that raged for centuries. At stake was not only the metaphysics of identity and distinction, but also the manifold applications of the competing middle distinctions. Scotus and the </w:t>
      </w:r>
      <w:proofErr w:type="spellStart"/>
      <w:r>
        <w:rPr>
          <w:rFonts w:ascii="Times New Roman" w:eastAsia="Times New Roman" w:hAnsi="Times New Roman" w:cs="Times New Roman"/>
          <w:sz w:val="24"/>
          <w:szCs w:val="24"/>
        </w:rPr>
        <w:t>Scotists</w:t>
      </w:r>
      <w:proofErr w:type="spellEnd"/>
      <w:r>
        <w:rPr>
          <w:rFonts w:ascii="Times New Roman" w:eastAsia="Times New Roman" w:hAnsi="Times New Roman" w:cs="Times New Roman"/>
          <w:sz w:val="24"/>
          <w:szCs w:val="24"/>
        </w:rPr>
        <w:t xml:space="preserve"> thought the Achilles should settle the dispute in their favor, justifying the coherence and widespread use of the formal distinction. Thomists, however, </w:t>
      </w:r>
      <w:r>
        <w:rPr>
          <w:rFonts w:ascii="Times New Roman" w:eastAsia="Times New Roman" w:hAnsi="Times New Roman" w:cs="Times New Roman"/>
          <w:sz w:val="24"/>
          <w:szCs w:val="24"/>
        </w:rPr>
        <w:lastRenderedPageBreak/>
        <w:t xml:space="preserve">denied this, maintaining that the virtual distinction could do just as well. However, for the task of responding to the </w:t>
      </w:r>
      <w:proofErr w:type="spellStart"/>
      <w:r>
        <w:rPr>
          <w:rFonts w:ascii="Times New Roman" w:eastAsia="Times New Roman" w:hAnsi="Times New Roman" w:cs="Times New Roman"/>
          <w:sz w:val="24"/>
          <w:szCs w:val="24"/>
        </w:rPr>
        <w:t>Scotistic</w:t>
      </w:r>
      <w:proofErr w:type="spellEnd"/>
      <w:r>
        <w:rPr>
          <w:rFonts w:ascii="Times New Roman" w:eastAsia="Times New Roman" w:hAnsi="Times New Roman" w:cs="Times New Roman"/>
          <w:sz w:val="24"/>
          <w:szCs w:val="24"/>
        </w:rPr>
        <w:t xml:space="preserve"> Achilles, the virtual distinction is not up to the job. </w:t>
      </w:r>
    </w:p>
    <w:p w14:paraId="00000077" w14:textId="77777777" w:rsidR="008D1538"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we have seen, some respondents maintain that paternity is not incommunicable after all, at least not prior to any act of the intellect. On this view, the virtual distinction </w:t>
      </w:r>
      <w:proofErr w:type="gramStart"/>
      <w:r>
        <w:rPr>
          <w:rFonts w:ascii="Times New Roman" w:eastAsia="Times New Roman" w:hAnsi="Times New Roman" w:cs="Times New Roman"/>
          <w:sz w:val="24"/>
          <w:szCs w:val="24"/>
        </w:rPr>
        <w:t>serves to explain</w:t>
      </w:r>
      <w:proofErr w:type="gramEnd"/>
      <w:r>
        <w:rPr>
          <w:rFonts w:ascii="Times New Roman" w:eastAsia="Times New Roman" w:hAnsi="Times New Roman" w:cs="Times New Roman"/>
          <w:sz w:val="24"/>
          <w:szCs w:val="24"/>
        </w:rPr>
        <w:t xml:space="preserve"> why we </w:t>
      </w:r>
      <w:r>
        <w:rPr>
          <w:rFonts w:ascii="Times New Roman" w:eastAsia="Times New Roman" w:hAnsi="Times New Roman" w:cs="Times New Roman"/>
          <w:i/>
          <w:sz w:val="24"/>
          <w:szCs w:val="24"/>
        </w:rPr>
        <w:t>think</w:t>
      </w:r>
      <w:r>
        <w:rPr>
          <w:rFonts w:ascii="Times New Roman" w:eastAsia="Times New Roman" w:hAnsi="Times New Roman" w:cs="Times New Roman"/>
          <w:sz w:val="24"/>
          <w:szCs w:val="24"/>
        </w:rPr>
        <w:t xml:space="preserve"> the essence is incommunicable, even though prior to any act of the intellect the essence </w:t>
      </w:r>
      <w:r>
        <w:rPr>
          <w:rFonts w:ascii="Times New Roman" w:eastAsia="Times New Roman" w:hAnsi="Times New Roman" w:cs="Times New Roman"/>
          <w:i/>
          <w:sz w:val="24"/>
          <w:szCs w:val="24"/>
        </w:rPr>
        <w:t>isn’t</w:t>
      </w:r>
      <w:r>
        <w:rPr>
          <w:rFonts w:ascii="Times New Roman" w:eastAsia="Times New Roman" w:hAnsi="Times New Roman" w:cs="Times New Roman"/>
          <w:sz w:val="24"/>
          <w:szCs w:val="24"/>
        </w:rPr>
        <w:t xml:space="preserve"> incommunicable. This response, however, involves rejecting common assumptions shared by the scholastics; indeed, this response, though available in principle, plausibly involves embracing views clearly condemned by the Church, and for that reason could not have gotten very far with the scholastics (and in fact it didn’t). Others appeal to reduplication. Some versions of this response merely change the subject, whereas the view we called radical </w:t>
      </w:r>
      <w:proofErr w:type="spellStart"/>
      <w:r>
        <w:rPr>
          <w:rFonts w:ascii="Times New Roman" w:eastAsia="Times New Roman" w:hAnsi="Times New Roman" w:cs="Times New Roman"/>
          <w:sz w:val="24"/>
          <w:szCs w:val="24"/>
        </w:rPr>
        <w:t>reduplicationism</w:t>
      </w:r>
      <w:proofErr w:type="spellEnd"/>
      <w:r>
        <w:rPr>
          <w:rFonts w:ascii="Times New Roman" w:eastAsia="Times New Roman" w:hAnsi="Times New Roman" w:cs="Times New Roman"/>
          <w:sz w:val="24"/>
          <w:szCs w:val="24"/>
        </w:rPr>
        <w:t xml:space="preserve"> incurs considerable costs and plausibly only works if one assumes something like the formal distinction–the very thing our respondents are hoping to avoid. A third group goes so far as to accept outright contradictions. In this case, the virtual distinction is what allows the divine essence both to be and not be communicable. This response does answer the Achilles, but the costs are steep. The last group surveyed appeals to mystery, insisting that the argument is unsound, but declines to say </w:t>
      </w:r>
      <w:r>
        <w:rPr>
          <w:rFonts w:ascii="Times New Roman" w:eastAsia="Times New Roman" w:hAnsi="Times New Roman" w:cs="Times New Roman"/>
          <w:i/>
          <w:sz w:val="24"/>
          <w:szCs w:val="24"/>
        </w:rPr>
        <w:t xml:space="preserve">how </w:t>
      </w:r>
      <w:r>
        <w:rPr>
          <w:rFonts w:ascii="Times New Roman" w:eastAsia="Times New Roman" w:hAnsi="Times New Roman" w:cs="Times New Roman"/>
          <w:sz w:val="24"/>
          <w:szCs w:val="24"/>
        </w:rPr>
        <w:t xml:space="preserve">this could be the case. This response is unsatisfying, and it plausibly conflicts with principles of Thomistic meta-theology. It also does nothing to show how </w:t>
      </w:r>
      <w:r>
        <w:rPr>
          <w:rFonts w:ascii="Times New Roman" w:eastAsia="Times New Roman" w:hAnsi="Times New Roman" w:cs="Times New Roman"/>
          <w:i/>
          <w:sz w:val="24"/>
          <w:szCs w:val="24"/>
        </w:rPr>
        <w:t>the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virtual distinction</w:t>
      </w:r>
      <w:r>
        <w:rPr>
          <w:rFonts w:ascii="Times New Roman" w:eastAsia="Times New Roman" w:hAnsi="Times New Roman" w:cs="Times New Roman"/>
          <w:sz w:val="24"/>
          <w:szCs w:val="24"/>
        </w:rPr>
        <w:t xml:space="preserve"> plays an important role in responding to the Achilles. </w:t>
      </w:r>
    </w:p>
    <w:p w14:paraId="00000078" w14:textId="77777777" w:rsidR="008D1538"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survey provides a detailed study of one of Scotus’s most important arguments for the formal distinction–a preeminent and indispensable tool in his metaphysics–and of that argument’s reception; both topics have been neglected in the literature. An investigation into the Achilles aids our understanding of Scotus and his reception; moreover, one cannot understand the broader scholastic debate on distinctions without it. The Achilles argument is very forceful. More than </w:t>
      </w:r>
      <w:r>
        <w:rPr>
          <w:rFonts w:ascii="Times New Roman" w:eastAsia="Times New Roman" w:hAnsi="Times New Roman" w:cs="Times New Roman"/>
          <w:sz w:val="24"/>
          <w:szCs w:val="24"/>
        </w:rPr>
        <w:lastRenderedPageBreak/>
        <w:t xml:space="preserve">that, though, here we see that whereas Thomists agreed that the argument’s conclusion could not be accepted, their agreement goes little farther than that. Thomists and Nominalists gave a variety of responses to the Achilles, responses that are often mutually incompatible and only rarely mutually reinforcing. Though many scholastics agreed that the </w:t>
      </w:r>
      <w:proofErr w:type="spellStart"/>
      <w:r>
        <w:rPr>
          <w:rFonts w:ascii="Times New Roman" w:eastAsia="Times New Roman" w:hAnsi="Times New Roman" w:cs="Times New Roman"/>
          <w:sz w:val="24"/>
          <w:szCs w:val="24"/>
        </w:rPr>
        <w:t>Scotists</w:t>
      </w:r>
      <w:proofErr w:type="spellEnd"/>
      <w:r>
        <w:rPr>
          <w:rFonts w:ascii="Times New Roman" w:eastAsia="Times New Roman" w:hAnsi="Times New Roman" w:cs="Times New Roman"/>
          <w:sz w:val="24"/>
          <w:szCs w:val="24"/>
        </w:rPr>
        <w:t xml:space="preserve"> needed to be resisted, the resistance is by no means a unified front. </w:t>
      </w:r>
    </w:p>
    <w:p w14:paraId="00000079" w14:textId="77777777" w:rsidR="008D1538"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nowhere clearer than in the hugely varied appeals to the virtual distinction. Besides making a strong showing for the formal distinction, the history of the Achilles argument invites us to ask what the Thomistic rival to the formal distinction really is: </w:t>
      </w:r>
      <w:r>
        <w:rPr>
          <w:rFonts w:ascii="Times New Roman" w:eastAsia="Times New Roman" w:hAnsi="Times New Roman" w:cs="Times New Roman"/>
          <w:i/>
          <w:sz w:val="24"/>
          <w:szCs w:val="24"/>
        </w:rPr>
        <w:t>what is the virtual distinction</w:t>
      </w:r>
      <w:r>
        <w:rPr>
          <w:rFonts w:ascii="Times New Roman" w:eastAsia="Times New Roman" w:hAnsi="Times New Roman" w:cs="Times New Roman"/>
          <w:sz w:val="24"/>
          <w:szCs w:val="24"/>
        </w:rPr>
        <w:t xml:space="preserve">? For </w:t>
      </w:r>
      <w:proofErr w:type="gramStart"/>
      <w:r>
        <w:rPr>
          <w:rFonts w:ascii="Times New Roman" w:eastAsia="Times New Roman" w:hAnsi="Times New Roman" w:cs="Times New Roman"/>
          <w:sz w:val="24"/>
          <w:szCs w:val="24"/>
        </w:rPr>
        <w:t>instance,,</w:t>
      </w:r>
      <w:proofErr w:type="gramEnd"/>
      <w:r>
        <w:rPr>
          <w:rFonts w:ascii="Times New Roman" w:eastAsia="Times New Roman" w:hAnsi="Times New Roman" w:cs="Times New Roman"/>
          <w:sz w:val="24"/>
          <w:szCs w:val="24"/>
        </w:rPr>
        <w:t xml:space="preserve"> does the virtual distinction involve a proliferation of </w:t>
      </w:r>
      <w:r>
        <w:rPr>
          <w:rFonts w:ascii="Times New Roman" w:eastAsia="Times New Roman" w:hAnsi="Times New Roman" w:cs="Times New Roman"/>
          <w:i/>
          <w:sz w:val="24"/>
          <w:szCs w:val="24"/>
        </w:rPr>
        <w:t xml:space="preserve">rationes </w:t>
      </w:r>
      <w:r>
        <w:rPr>
          <w:rFonts w:ascii="Times New Roman" w:eastAsia="Times New Roman" w:hAnsi="Times New Roman" w:cs="Times New Roman"/>
          <w:sz w:val="24"/>
          <w:szCs w:val="24"/>
        </w:rPr>
        <w:t xml:space="preserve">in God? Perhaps, instead, it implicates a single </w:t>
      </w:r>
      <w:r>
        <w:rPr>
          <w:rFonts w:ascii="Times New Roman" w:eastAsia="Times New Roman" w:hAnsi="Times New Roman" w:cs="Times New Roman"/>
          <w:i/>
          <w:sz w:val="24"/>
          <w:szCs w:val="24"/>
        </w:rPr>
        <w:t>ratio</w:t>
      </w:r>
      <w:r>
        <w:rPr>
          <w:rFonts w:ascii="Times New Roman" w:eastAsia="Times New Roman" w:hAnsi="Times New Roman" w:cs="Times New Roman"/>
          <w:sz w:val="24"/>
          <w:szCs w:val="24"/>
        </w:rPr>
        <w:t xml:space="preserve"> in outright contradiction. Thomistic respondents to the Achilles went their separate ways on this question. Without the Achilles argument, then, we would be unable to see that the Thomists in fact held diverse views about the nature and function of the virtual distinction; the Achilles thus clarifies the differences not only between </w:t>
      </w:r>
      <w:proofErr w:type="spellStart"/>
      <w:r>
        <w:rPr>
          <w:rFonts w:ascii="Times New Roman" w:eastAsia="Times New Roman" w:hAnsi="Times New Roman" w:cs="Times New Roman"/>
          <w:sz w:val="24"/>
          <w:szCs w:val="24"/>
        </w:rPr>
        <w:t>Thomistis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Scotists</w:t>
      </w:r>
      <w:proofErr w:type="spellEnd"/>
      <w:r>
        <w:rPr>
          <w:rFonts w:ascii="Times New Roman" w:eastAsia="Times New Roman" w:hAnsi="Times New Roman" w:cs="Times New Roman"/>
          <w:sz w:val="24"/>
          <w:szCs w:val="24"/>
        </w:rPr>
        <w:t>, but also among the Thomists themselves concerning middle distinctions.</w:t>
      </w:r>
    </w:p>
    <w:p w14:paraId="0000007A" w14:textId="77777777" w:rsidR="008D1538"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excursion into the history of the Achilles argument also reveals heretofore unnoticed connections between scholastic debates and recent developments in analytic philosophy of religion. Here we have in mind two ambitious programs. First, Timothy Pawl’s (2016) semantics for Christological predications invokes what is effectively a version of radical </w:t>
      </w:r>
      <w:proofErr w:type="spellStart"/>
      <w:r>
        <w:rPr>
          <w:rFonts w:ascii="Times New Roman" w:eastAsia="Times New Roman" w:hAnsi="Times New Roman" w:cs="Times New Roman"/>
          <w:sz w:val="24"/>
          <w:szCs w:val="24"/>
        </w:rPr>
        <w:t>reduplicationism</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82"/>
      </w:r>
      <w:r>
        <w:rPr>
          <w:rFonts w:ascii="Times New Roman" w:eastAsia="Times New Roman" w:hAnsi="Times New Roman" w:cs="Times New Roman"/>
          <w:sz w:val="24"/>
          <w:szCs w:val="24"/>
        </w:rPr>
        <w:t xml:space="preserve"> Though parallels between Pawl’s proposal and some similar views in scholastic discussions of Christology have been noted, here we see new parallels in a different </w:t>
      </w:r>
      <w:r>
        <w:rPr>
          <w:rFonts w:ascii="Times New Roman" w:eastAsia="Times New Roman" w:hAnsi="Times New Roman" w:cs="Times New Roman"/>
          <w:sz w:val="24"/>
          <w:szCs w:val="24"/>
        </w:rPr>
        <w:lastRenderedPageBreak/>
        <w:t>domain: anti-</w:t>
      </w:r>
      <w:proofErr w:type="spellStart"/>
      <w:r>
        <w:rPr>
          <w:rFonts w:ascii="Times New Roman" w:eastAsia="Times New Roman" w:hAnsi="Times New Roman" w:cs="Times New Roman"/>
          <w:sz w:val="24"/>
          <w:szCs w:val="24"/>
        </w:rPr>
        <w:t>Scotistic</w:t>
      </w:r>
      <w:proofErr w:type="spellEnd"/>
      <w:r>
        <w:rPr>
          <w:rFonts w:ascii="Times New Roman" w:eastAsia="Times New Roman" w:hAnsi="Times New Roman" w:cs="Times New Roman"/>
          <w:sz w:val="24"/>
          <w:szCs w:val="24"/>
        </w:rPr>
        <w:t xml:space="preserve"> responses to Scotus’s Achilles argument. Second, </w:t>
      </w:r>
      <w:proofErr w:type="spellStart"/>
      <w:r>
        <w:rPr>
          <w:rFonts w:ascii="Times New Roman" w:eastAsia="Times New Roman" w:hAnsi="Times New Roman" w:cs="Times New Roman"/>
          <w:sz w:val="24"/>
          <w:szCs w:val="24"/>
        </w:rPr>
        <w:t>Jc</w:t>
      </w:r>
      <w:proofErr w:type="spellEnd"/>
      <w:r>
        <w:rPr>
          <w:rFonts w:ascii="Times New Roman" w:eastAsia="Times New Roman" w:hAnsi="Times New Roman" w:cs="Times New Roman"/>
          <w:sz w:val="24"/>
          <w:szCs w:val="24"/>
        </w:rPr>
        <w:t xml:space="preserve"> Beall has recently defended the postulation of true contradictions in philosophy of religion–underwritten by 20th century developments in nonclassical logic–with </w:t>
      </w:r>
      <w:proofErr w:type="gramStart"/>
      <w:r>
        <w:rPr>
          <w:rFonts w:ascii="Times New Roman" w:eastAsia="Times New Roman" w:hAnsi="Times New Roman" w:cs="Times New Roman"/>
          <w:sz w:val="24"/>
          <w:szCs w:val="24"/>
        </w:rPr>
        <w:t>particular applications</w:t>
      </w:r>
      <w:proofErr w:type="gramEnd"/>
      <w:r>
        <w:rPr>
          <w:rFonts w:ascii="Times New Roman" w:eastAsia="Times New Roman" w:hAnsi="Times New Roman" w:cs="Times New Roman"/>
          <w:sz w:val="24"/>
          <w:szCs w:val="24"/>
        </w:rPr>
        <w:t xml:space="preserve"> to addressing long-standing difficulties in core, conciliar Christian thought.</w:t>
      </w:r>
      <w:r>
        <w:rPr>
          <w:rFonts w:ascii="Times New Roman" w:eastAsia="Times New Roman" w:hAnsi="Times New Roman" w:cs="Times New Roman"/>
          <w:sz w:val="24"/>
          <w:szCs w:val="24"/>
          <w:vertAlign w:val="superscript"/>
        </w:rPr>
        <w:footnoteReference w:id="83"/>
      </w:r>
      <w:r>
        <w:rPr>
          <w:rFonts w:ascii="Times New Roman" w:eastAsia="Times New Roman" w:hAnsi="Times New Roman" w:cs="Times New Roman"/>
          <w:sz w:val="24"/>
          <w:szCs w:val="24"/>
        </w:rPr>
        <w:t xml:space="preserve"> Though the resources of contemporary nonclassical logic are new, we now know that the heart of Beall’s proposal goes back at least to the early modern period. Beall is following Fabri, Cajetan, and others, in positing true contradictions in God. The dispute over the Achilles is an important part of this history.</w:t>
      </w:r>
    </w:p>
    <w:p w14:paraId="0000007B" w14:textId="77777777" w:rsidR="008D1538"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since the Achilles argument is so forceful, Thomists and Nominalists who wish to reject Scotus’s conclusion need a credible rebuttal. But the extant responses to the Achilles fall far short, as we have seen. For this reason, we tentatively conclude that the </w:t>
      </w:r>
      <w:proofErr w:type="spellStart"/>
      <w:r>
        <w:rPr>
          <w:rFonts w:ascii="Times New Roman" w:eastAsia="Times New Roman" w:hAnsi="Times New Roman" w:cs="Times New Roman"/>
          <w:sz w:val="24"/>
          <w:szCs w:val="24"/>
        </w:rPr>
        <w:t>Scotists</w:t>
      </w:r>
      <w:proofErr w:type="spellEnd"/>
      <w:r>
        <w:rPr>
          <w:rFonts w:ascii="Times New Roman" w:eastAsia="Times New Roman" w:hAnsi="Times New Roman" w:cs="Times New Roman"/>
          <w:sz w:val="24"/>
          <w:szCs w:val="24"/>
        </w:rPr>
        <w:t xml:space="preserve"> have won the day: plausibly, given their deeper commitments, Thomists and Nominalists should follow the Subtle Doctor in adopting the formal distinction. </w:t>
      </w:r>
    </w:p>
    <w:p w14:paraId="0000007C" w14:textId="77777777" w:rsidR="008D1538" w:rsidRDefault="008D1538">
      <w:pPr>
        <w:spacing w:before="240" w:after="240"/>
        <w:ind w:left="720"/>
        <w:rPr>
          <w:rFonts w:ascii="Times New Roman" w:eastAsia="Times New Roman" w:hAnsi="Times New Roman" w:cs="Times New Roman"/>
          <w:sz w:val="24"/>
          <w:szCs w:val="24"/>
        </w:rPr>
      </w:pPr>
    </w:p>
    <w:p w14:paraId="0000007D" w14:textId="77777777" w:rsidR="008D1538"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References</w:t>
      </w:r>
    </w:p>
    <w:p w14:paraId="0000007E" w14:textId="77777777" w:rsidR="008D1538" w:rsidRDefault="00000000">
      <w:pPr>
        <w:spacing w:before="200"/>
        <w:rPr>
          <w:rFonts w:ascii="Times New Roman" w:eastAsia="Times New Roman" w:hAnsi="Times New Roman" w:cs="Times New Roman"/>
          <w:i/>
          <w:sz w:val="24"/>
          <w:szCs w:val="24"/>
        </w:rPr>
      </w:pPr>
      <w:r>
        <w:rPr>
          <w:rFonts w:ascii="Times New Roman" w:eastAsia="Times New Roman" w:hAnsi="Times New Roman" w:cs="Times New Roman"/>
          <w:i/>
          <w:sz w:val="24"/>
          <w:szCs w:val="24"/>
        </w:rPr>
        <w:t>Primary Sources</w:t>
      </w:r>
    </w:p>
    <w:p w14:paraId="0000007F" w14:textId="77777777" w:rsidR="008D1538" w:rsidRDefault="008D1538">
      <w:pPr>
        <w:spacing w:before="200"/>
        <w:rPr>
          <w:rFonts w:ascii="Times New Roman" w:eastAsia="Times New Roman" w:hAnsi="Times New Roman" w:cs="Times New Roman"/>
          <w:sz w:val="24"/>
          <w:szCs w:val="24"/>
        </w:rPr>
      </w:pPr>
    </w:p>
    <w:p w14:paraId="00000080" w14:textId="77777777" w:rsidR="008D1538" w:rsidRDefault="00000000">
      <w:pPr>
        <w:spacing w:before="200"/>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Arriaga, Rodrigo. 1669. </w:t>
      </w:r>
      <w:r>
        <w:rPr>
          <w:rFonts w:ascii="Times New Roman" w:eastAsia="Times New Roman" w:hAnsi="Times New Roman" w:cs="Times New Roman"/>
          <w:i/>
          <w:sz w:val="24"/>
          <w:szCs w:val="24"/>
        </w:rPr>
        <w:t xml:space="preserve">Cursus </w:t>
      </w:r>
      <w:proofErr w:type="spellStart"/>
      <w:r>
        <w:rPr>
          <w:rFonts w:ascii="Times New Roman" w:eastAsia="Times New Roman" w:hAnsi="Times New Roman" w:cs="Times New Roman"/>
          <w:i/>
          <w:sz w:val="24"/>
          <w:szCs w:val="24"/>
        </w:rPr>
        <w:t>Theologicus</w:t>
      </w:r>
      <w:proofErr w:type="spellEnd"/>
      <w:r>
        <w:rPr>
          <w:rFonts w:ascii="Times New Roman" w:eastAsia="Times New Roman" w:hAnsi="Times New Roman" w:cs="Times New Roman"/>
          <w:sz w:val="24"/>
          <w:szCs w:val="24"/>
        </w:rPr>
        <w:t xml:space="preserve"> Vol. II.  </w:t>
      </w:r>
      <w:proofErr w:type="spellStart"/>
      <w:r>
        <w:rPr>
          <w:rFonts w:ascii="Times New Roman" w:eastAsia="Times New Roman" w:hAnsi="Times New Roman" w:cs="Times New Roman"/>
          <w:sz w:val="24"/>
          <w:szCs w:val="24"/>
        </w:rPr>
        <w:t>Sumptibus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Laurentii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Anisson</w:t>
      </w:r>
      <w:proofErr w:type="spellEnd"/>
      <w:r>
        <w:rPr>
          <w:rFonts w:ascii="Times New Roman" w:eastAsia="Times New Roman" w:hAnsi="Times New Roman" w:cs="Times New Roman"/>
          <w:sz w:val="24"/>
          <w:szCs w:val="24"/>
        </w:rPr>
        <w:t xml:space="preserve"> (Lyon).</w:t>
      </w:r>
    </w:p>
    <w:p w14:paraId="00000081" w14:textId="77777777" w:rsidR="008D1538" w:rsidRDefault="00000000">
      <w:pPr>
        <w:spacing w:before="200"/>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Aquinas, Thomas 1888. </w:t>
      </w:r>
      <w:r>
        <w:rPr>
          <w:rFonts w:ascii="Times New Roman" w:eastAsia="Times New Roman" w:hAnsi="Times New Roman" w:cs="Times New Roman"/>
          <w:i/>
          <w:sz w:val="24"/>
          <w:szCs w:val="24"/>
        </w:rPr>
        <w:t xml:space="preserve">Opera Omnia Tomus Quartus Pars Prima Summae </w:t>
      </w:r>
      <w:proofErr w:type="spellStart"/>
      <w:r>
        <w:rPr>
          <w:rFonts w:ascii="Times New Roman" w:eastAsia="Times New Roman" w:hAnsi="Times New Roman" w:cs="Times New Roman"/>
          <w:i/>
          <w:sz w:val="24"/>
          <w:szCs w:val="24"/>
        </w:rPr>
        <w:t>Theologiae</w:t>
      </w:r>
      <w:proofErr w:type="spell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A</w:t>
      </w:r>
      <w:proofErr w:type="gram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Questione</w:t>
      </w:r>
      <w:proofErr w:type="spellEnd"/>
      <w:r>
        <w:rPr>
          <w:rFonts w:ascii="Times New Roman" w:eastAsia="Times New Roman" w:hAnsi="Times New Roman" w:cs="Times New Roman"/>
          <w:i/>
          <w:sz w:val="24"/>
          <w:szCs w:val="24"/>
        </w:rPr>
        <w:t xml:space="preserve"> I ad </w:t>
      </w:r>
      <w:proofErr w:type="spellStart"/>
      <w:r>
        <w:rPr>
          <w:rFonts w:ascii="Times New Roman" w:eastAsia="Times New Roman" w:hAnsi="Times New Roman" w:cs="Times New Roman"/>
          <w:i/>
          <w:sz w:val="24"/>
          <w:szCs w:val="24"/>
        </w:rPr>
        <w:t>Questionem</w:t>
      </w:r>
      <w:proofErr w:type="spellEnd"/>
      <w:r>
        <w:rPr>
          <w:rFonts w:ascii="Times New Roman" w:eastAsia="Times New Roman" w:hAnsi="Times New Roman" w:cs="Times New Roman"/>
          <w:i/>
          <w:sz w:val="24"/>
          <w:szCs w:val="24"/>
        </w:rPr>
        <w:t xml:space="preserve"> XLIX</w:t>
      </w:r>
      <w:r>
        <w:rPr>
          <w:rFonts w:ascii="Times New Roman" w:eastAsia="Times New Roman" w:hAnsi="Times New Roman" w:cs="Times New Roman"/>
          <w:sz w:val="24"/>
          <w:szCs w:val="24"/>
        </w:rPr>
        <w:t xml:space="preserve"> (Rome)</w:t>
      </w:r>
    </w:p>
    <w:p w14:paraId="00000082" w14:textId="77777777" w:rsidR="008D1538" w:rsidRDefault="00000000">
      <w:pPr>
        <w:spacing w:before="200"/>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1820. </w:t>
      </w:r>
      <w:r>
        <w:rPr>
          <w:rFonts w:ascii="Times New Roman" w:eastAsia="Times New Roman" w:hAnsi="Times New Roman" w:cs="Times New Roman"/>
          <w:i/>
          <w:sz w:val="24"/>
          <w:szCs w:val="24"/>
        </w:rPr>
        <w:t xml:space="preserve">Quaestiones </w:t>
      </w:r>
      <w:proofErr w:type="spellStart"/>
      <w:r>
        <w:rPr>
          <w:rFonts w:ascii="Times New Roman" w:eastAsia="Times New Roman" w:hAnsi="Times New Roman" w:cs="Times New Roman"/>
          <w:i/>
          <w:sz w:val="24"/>
          <w:szCs w:val="24"/>
        </w:rPr>
        <w:t>Disuputatae</w:t>
      </w:r>
      <w:proofErr w:type="spellEnd"/>
      <w:r>
        <w:rPr>
          <w:rFonts w:ascii="Times New Roman" w:eastAsia="Times New Roman" w:hAnsi="Times New Roman" w:cs="Times New Roman"/>
          <w:i/>
          <w:sz w:val="24"/>
          <w:szCs w:val="24"/>
        </w:rPr>
        <w:t xml:space="preserve"> et </w:t>
      </w:r>
      <w:proofErr w:type="spellStart"/>
      <w:r>
        <w:rPr>
          <w:rFonts w:ascii="Times New Roman" w:eastAsia="Times New Roman" w:hAnsi="Times New Roman" w:cs="Times New Roman"/>
          <w:i/>
          <w:sz w:val="24"/>
          <w:szCs w:val="24"/>
        </w:rPr>
        <w:t>Questiones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Duodecim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Quodlibetales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Volumen</w:t>
      </w:r>
      <w:proofErr w:type="spellEnd"/>
      <w:r>
        <w:rPr>
          <w:rFonts w:ascii="Times New Roman" w:eastAsia="Times New Roman" w:hAnsi="Times New Roman" w:cs="Times New Roman"/>
          <w:sz w:val="24"/>
          <w:szCs w:val="24"/>
        </w:rPr>
        <w:t xml:space="preserve"> I </w:t>
      </w:r>
      <w:r>
        <w:rPr>
          <w:rFonts w:ascii="Times New Roman" w:eastAsia="Times New Roman" w:hAnsi="Times New Roman" w:cs="Times New Roman"/>
          <w:i/>
          <w:sz w:val="24"/>
          <w:szCs w:val="24"/>
        </w:rPr>
        <w:t xml:space="preserve">De </w:t>
      </w:r>
      <w:proofErr w:type="spellStart"/>
      <w:r>
        <w:rPr>
          <w:rFonts w:ascii="Times New Roman" w:eastAsia="Times New Roman" w:hAnsi="Times New Roman" w:cs="Times New Roman"/>
          <w:i/>
          <w:sz w:val="24"/>
          <w:szCs w:val="24"/>
        </w:rPr>
        <w:t>Potentia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Ex </w:t>
      </w:r>
      <w:proofErr w:type="spellStart"/>
      <w:r>
        <w:rPr>
          <w:rFonts w:ascii="Times New Roman" w:eastAsia="Times New Roman" w:hAnsi="Times New Roman" w:cs="Times New Roman"/>
          <w:sz w:val="24"/>
          <w:szCs w:val="24"/>
        </w:rPr>
        <w:t>Officina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Libraria</w:t>
      </w:r>
      <w:proofErr w:type="spellEnd"/>
      <w:r>
        <w:rPr>
          <w:rFonts w:ascii="Times New Roman" w:eastAsia="Times New Roman" w:hAnsi="Times New Roman" w:cs="Times New Roman"/>
          <w:sz w:val="24"/>
          <w:szCs w:val="24"/>
        </w:rPr>
        <w:t xml:space="preserve"> Marietti (</w:t>
      </w:r>
      <w:proofErr w:type="spellStart"/>
      <w:r>
        <w:rPr>
          <w:rFonts w:ascii="Times New Roman" w:eastAsia="Times New Roman" w:hAnsi="Times New Roman" w:cs="Times New Roman"/>
          <w:sz w:val="24"/>
          <w:szCs w:val="24"/>
        </w:rPr>
        <w:t>Taurini-Romae</w:t>
      </w:r>
      <w:proofErr w:type="spellEnd"/>
      <w:r>
        <w:rPr>
          <w:rFonts w:ascii="Times New Roman" w:eastAsia="Times New Roman" w:hAnsi="Times New Roman" w:cs="Times New Roman"/>
          <w:sz w:val="24"/>
          <w:szCs w:val="24"/>
        </w:rPr>
        <w:t>).</w:t>
      </w:r>
    </w:p>
    <w:p w14:paraId="00000083" w14:textId="77777777" w:rsidR="008D1538" w:rsidRDefault="00000000">
      <w:pPr>
        <w:spacing w:before="200" w:after="200"/>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1955-1957. </w:t>
      </w:r>
      <w:r>
        <w:rPr>
          <w:rFonts w:ascii="Times New Roman" w:eastAsia="Times New Roman" w:hAnsi="Times New Roman" w:cs="Times New Roman"/>
          <w:i/>
          <w:sz w:val="24"/>
          <w:szCs w:val="24"/>
        </w:rPr>
        <w:t>Contra Gentiles: On the Truth of the Catholic Faith</w:t>
      </w:r>
      <w:r>
        <w:rPr>
          <w:rFonts w:ascii="Times New Roman" w:eastAsia="Times New Roman" w:hAnsi="Times New Roman" w:cs="Times New Roman"/>
          <w:sz w:val="24"/>
          <w:szCs w:val="24"/>
        </w:rPr>
        <w:t xml:space="preserve">. Ed. Joseph Kenny, trans. by Anton </w:t>
      </w:r>
      <w:proofErr w:type="spellStart"/>
      <w:r>
        <w:rPr>
          <w:rFonts w:ascii="Times New Roman" w:eastAsia="Times New Roman" w:hAnsi="Times New Roman" w:cs="Times New Roman"/>
          <w:sz w:val="24"/>
          <w:szCs w:val="24"/>
        </w:rPr>
        <w:t>Pegis</w:t>
      </w:r>
      <w:proofErr w:type="spellEnd"/>
      <w:r>
        <w:rPr>
          <w:rFonts w:ascii="Times New Roman" w:eastAsia="Times New Roman" w:hAnsi="Times New Roman" w:cs="Times New Roman"/>
          <w:sz w:val="24"/>
          <w:szCs w:val="24"/>
        </w:rPr>
        <w:t xml:space="preserve"> (New York).</w:t>
      </w:r>
    </w:p>
    <w:p w14:paraId="00000084" w14:textId="77777777" w:rsidR="008D1538" w:rsidRDefault="00000000">
      <w:pPr>
        <w:spacing w:after="200" w:line="240" w:lineRule="auto"/>
        <w:ind w:left="720" w:hanging="720"/>
        <w:rPr>
          <w:rFonts w:ascii="Times New Roman" w:eastAsia="Times New Roman" w:hAnsi="Times New Roman" w:cs="Times New Roman"/>
          <w:sz w:val="28"/>
          <w:szCs w:val="28"/>
        </w:rPr>
      </w:pPr>
      <w:proofErr w:type="spellStart"/>
      <w:r>
        <w:rPr>
          <w:rFonts w:ascii="Times New Roman" w:eastAsia="Times New Roman" w:hAnsi="Times New Roman" w:cs="Times New Roman"/>
          <w:sz w:val="24"/>
          <w:szCs w:val="24"/>
        </w:rPr>
        <w:lastRenderedPageBreak/>
        <w:t>Báñez</w:t>
      </w:r>
      <w:proofErr w:type="spellEnd"/>
      <w:r>
        <w:rPr>
          <w:rFonts w:ascii="Times New Roman" w:eastAsia="Times New Roman" w:hAnsi="Times New Roman" w:cs="Times New Roman"/>
          <w:sz w:val="24"/>
          <w:szCs w:val="24"/>
        </w:rPr>
        <w:t xml:space="preserve">, Dominico. 1614. </w:t>
      </w:r>
      <w:r>
        <w:rPr>
          <w:rFonts w:ascii="Times New Roman" w:eastAsia="Times New Roman" w:hAnsi="Times New Roman" w:cs="Times New Roman"/>
          <w:i/>
          <w:sz w:val="24"/>
          <w:szCs w:val="24"/>
        </w:rPr>
        <w:t xml:space="preserve">Scholastica </w:t>
      </w:r>
      <w:proofErr w:type="spellStart"/>
      <w:r>
        <w:rPr>
          <w:rFonts w:ascii="Times New Roman" w:eastAsia="Times New Roman" w:hAnsi="Times New Roman" w:cs="Times New Roman"/>
          <w:i/>
          <w:sz w:val="24"/>
          <w:szCs w:val="24"/>
        </w:rPr>
        <w:t>Commentaria</w:t>
      </w:r>
      <w:proofErr w:type="spellEnd"/>
      <w:r>
        <w:rPr>
          <w:rFonts w:ascii="Times New Roman" w:eastAsia="Times New Roman" w:hAnsi="Times New Roman" w:cs="Times New Roman"/>
          <w:i/>
          <w:sz w:val="24"/>
          <w:szCs w:val="24"/>
        </w:rPr>
        <w:t xml:space="preserve"> in Primam Partem </w:t>
      </w:r>
      <w:proofErr w:type="spellStart"/>
      <w:r>
        <w:rPr>
          <w:rFonts w:ascii="Times New Roman" w:eastAsia="Times New Roman" w:hAnsi="Times New Roman" w:cs="Times New Roman"/>
          <w:i/>
          <w:sz w:val="24"/>
          <w:szCs w:val="24"/>
        </w:rPr>
        <w:t>Angelici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Doctoris</w:t>
      </w:r>
      <w:proofErr w:type="spellEnd"/>
      <w:r>
        <w:rPr>
          <w:rFonts w:ascii="Times New Roman" w:eastAsia="Times New Roman" w:hAnsi="Times New Roman" w:cs="Times New Roman"/>
          <w:i/>
          <w:sz w:val="24"/>
          <w:szCs w:val="24"/>
        </w:rPr>
        <w:t xml:space="preserve"> S. Thomae </w:t>
      </w:r>
      <w:proofErr w:type="spellStart"/>
      <w:r>
        <w:rPr>
          <w:rFonts w:ascii="Times New Roman" w:eastAsia="Times New Roman" w:hAnsi="Times New Roman" w:cs="Times New Roman"/>
          <w:i/>
          <w:sz w:val="24"/>
          <w:szCs w:val="24"/>
        </w:rPr>
        <w:t>Usque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ad</w:t>
      </w:r>
      <w:proofErr w:type="spellEnd"/>
      <w:r>
        <w:rPr>
          <w:rFonts w:ascii="Times New Roman" w:eastAsia="Times New Roman" w:hAnsi="Times New Roman" w:cs="Times New Roman"/>
          <w:i/>
          <w:sz w:val="24"/>
          <w:szCs w:val="24"/>
        </w:rPr>
        <w:t xml:space="preserve"> LXIIII </w:t>
      </w:r>
      <w:proofErr w:type="spellStart"/>
      <w:r>
        <w:rPr>
          <w:rFonts w:ascii="Times New Roman" w:eastAsia="Times New Roman" w:hAnsi="Times New Roman" w:cs="Times New Roman"/>
          <w:i/>
          <w:sz w:val="24"/>
          <w:szCs w:val="24"/>
        </w:rPr>
        <w:t>Questionem</w:t>
      </w:r>
      <w:proofErr w:type="spellEnd"/>
      <w:r>
        <w:rPr>
          <w:rFonts w:ascii="Times New Roman" w:eastAsia="Times New Roman" w:hAnsi="Times New Roman" w:cs="Times New Roman"/>
          <w:sz w:val="24"/>
          <w:szCs w:val="24"/>
        </w:rPr>
        <w:t xml:space="preserve"> ex </w:t>
      </w:r>
      <w:proofErr w:type="spellStart"/>
      <w:r>
        <w:rPr>
          <w:rFonts w:ascii="Times New Roman" w:eastAsia="Times New Roman" w:hAnsi="Times New Roman" w:cs="Times New Roman"/>
          <w:sz w:val="24"/>
          <w:szCs w:val="24"/>
        </w:rPr>
        <w:t>typographia</w:t>
      </w:r>
      <w:proofErr w:type="spellEnd"/>
      <w:r>
        <w:rPr>
          <w:rFonts w:ascii="Times New Roman" w:eastAsia="Times New Roman" w:hAnsi="Times New Roman" w:cs="Times New Roman"/>
          <w:sz w:val="24"/>
          <w:szCs w:val="24"/>
        </w:rPr>
        <w:t xml:space="preserve"> Petri Borremans.</w:t>
      </w:r>
    </w:p>
    <w:p w14:paraId="00000085" w14:textId="77777777" w:rsidR="008D1538" w:rsidRDefault="00000000">
      <w:pPr>
        <w:spacing w:before="200"/>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Cajetan, Thomas De </w:t>
      </w:r>
      <w:proofErr w:type="spellStart"/>
      <w:r>
        <w:rPr>
          <w:rFonts w:ascii="Times New Roman" w:eastAsia="Times New Roman" w:hAnsi="Times New Roman" w:cs="Times New Roman"/>
          <w:sz w:val="24"/>
          <w:szCs w:val="24"/>
        </w:rPr>
        <w:t>Vio</w:t>
      </w:r>
      <w:proofErr w:type="spellEnd"/>
      <w:r>
        <w:rPr>
          <w:rFonts w:ascii="Times New Roman" w:eastAsia="Times New Roman" w:hAnsi="Times New Roman" w:cs="Times New Roman"/>
          <w:sz w:val="24"/>
          <w:szCs w:val="24"/>
        </w:rPr>
        <w:t xml:space="preserve">. 1888. </w:t>
      </w:r>
      <w:r>
        <w:rPr>
          <w:rFonts w:ascii="Times New Roman" w:eastAsia="Times New Roman" w:hAnsi="Times New Roman" w:cs="Times New Roman"/>
          <w:i/>
          <w:sz w:val="24"/>
          <w:szCs w:val="24"/>
        </w:rPr>
        <w:t>Commentary on the Summa Theologica</w:t>
      </w:r>
      <w:r>
        <w:rPr>
          <w:rFonts w:ascii="Times New Roman" w:eastAsia="Times New Roman" w:hAnsi="Times New Roman" w:cs="Times New Roman"/>
          <w:sz w:val="24"/>
          <w:szCs w:val="24"/>
        </w:rPr>
        <w:t xml:space="preserve"> in </w:t>
      </w:r>
      <w:r>
        <w:rPr>
          <w:rFonts w:ascii="Times New Roman" w:eastAsia="Times New Roman" w:hAnsi="Times New Roman" w:cs="Times New Roman"/>
          <w:i/>
          <w:sz w:val="24"/>
          <w:szCs w:val="24"/>
        </w:rPr>
        <w:t>Opera Omnia</w:t>
      </w:r>
      <w:r>
        <w:rPr>
          <w:rFonts w:ascii="Times New Roman" w:eastAsia="Times New Roman" w:hAnsi="Times New Roman" w:cs="Times New Roman"/>
          <w:sz w:val="24"/>
          <w:szCs w:val="24"/>
        </w:rPr>
        <w:t xml:space="preserve"> Sancti Thomae </w:t>
      </w:r>
      <w:proofErr w:type="spellStart"/>
      <w:r>
        <w:rPr>
          <w:rFonts w:ascii="Times New Roman" w:eastAsia="Times New Roman" w:hAnsi="Times New Roman" w:cs="Times New Roman"/>
          <w:sz w:val="24"/>
          <w:szCs w:val="24"/>
        </w:rPr>
        <w:t>Aquinatis</w:t>
      </w:r>
      <w:proofErr w:type="spellEnd"/>
      <w:r>
        <w:rPr>
          <w:rFonts w:ascii="Times New Roman" w:eastAsia="Times New Roman" w:hAnsi="Times New Roman" w:cs="Times New Roman"/>
          <w:sz w:val="24"/>
          <w:szCs w:val="24"/>
        </w:rPr>
        <w:t xml:space="preserve"> Tomus Quartus (Rome).</w:t>
      </w:r>
    </w:p>
    <w:p w14:paraId="00000086" w14:textId="77777777" w:rsidR="008D1538" w:rsidRDefault="00000000">
      <w:pPr>
        <w:spacing w:before="200"/>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Fabri, Honore. 1648. </w:t>
      </w:r>
      <w:proofErr w:type="spellStart"/>
      <w:r>
        <w:rPr>
          <w:rFonts w:ascii="Times New Roman" w:eastAsia="Times New Roman" w:hAnsi="Times New Roman" w:cs="Times New Roman"/>
          <w:i/>
          <w:sz w:val="24"/>
          <w:szCs w:val="24"/>
        </w:rPr>
        <w:t>Metaphysica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Demonstrativa</w:t>
      </w:r>
      <w:proofErr w:type="spellEnd"/>
      <w:r>
        <w:rPr>
          <w:rFonts w:ascii="Times New Roman" w:eastAsia="Times New Roman" w:hAnsi="Times New Roman" w:cs="Times New Roman"/>
          <w:i/>
          <w:sz w:val="24"/>
          <w:szCs w:val="24"/>
        </w:rPr>
        <w:t xml:space="preserve"> Sive Scientia </w:t>
      </w:r>
      <w:proofErr w:type="spellStart"/>
      <w:r>
        <w:rPr>
          <w:rFonts w:ascii="Times New Roman" w:eastAsia="Times New Roman" w:hAnsi="Times New Roman" w:cs="Times New Roman"/>
          <w:i/>
          <w:sz w:val="24"/>
          <w:szCs w:val="24"/>
        </w:rPr>
        <w:t>Rationum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Universalium</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Sumptibus</w:t>
      </w:r>
      <w:proofErr w:type="spellEnd"/>
      <w:r>
        <w:rPr>
          <w:rFonts w:ascii="Times New Roman" w:eastAsia="Times New Roman" w:hAnsi="Times New Roman" w:cs="Times New Roman"/>
          <w:sz w:val="24"/>
          <w:szCs w:val="24"/>
        </w:rPr>
        <w:t xml:space="preserve"> Ioannis Champion (Lyon).</w:t>
      </w:r>
    </w:p>
    <w:p w14:paraId="00000087" w14:textId="77777777" w:rsidR="008D1538" w:rsidRDefault="00000000">
      <w:pPr>
        <w:spacing w:before="200"/>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Ferre, Vicente. 1678. </w:t>
      </w:r>
      <w:r>
        <w:rPr>
          <w:rFonts w:ascii="Times New Roman" w:eastAsia="Times New Roman" w:hAnsi="Times New Roman" w:cs="Times New Roman"/>
          <w:i/>
          <w:sz w:val="24"/>
          <w:szCs w:val="24"/>
        </w:rPr>
        <w:t xml:space="preserve">Tractatus </w:t>
      </w:r>
      <w:proofErr w:type="spellStart"/>
      <w:r>
        <w:rPr>
          <w:rFonts w:ascii="Times New Roman" w:eastAsia="Times New Roman" w:hAnsi="Times New Roman" w:cs="Times New Roman"/>
          <w:i/>
          <w:sz w:val="24"/>
          <w:szCs w:val="24"/>
        </w:rPr>
        <w:t>Theologici</w:t>
      </w:r>
      <w:proofErr w:type="spellEnd"/>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i/>
          <w:sz w:val="24"/>
          <w:szCs w:val="24"/>
        </w:rPr>
        <w:t>In</w:t>
      </w:r>
      <w:proofErr w:type="gramEnd"/>
      <w:r>
        <w:rPr>
          <w:rFonts w:ascii="Times New Roman" w:eastAsia="Times New Roman" w:hAnsi="Times New Roman" w:cs="Times New Roman"/>
          <w:i/>
          <w:sz w:val="24"/>
          <w:szCs w:val="24"/>
        </w:rPr>
        <w:t xml:space="preserve"> Primam Partem D. Thomae A </w:t>
      </w:r>
      <w:proofErr w:type="spellStart"/>
      <w:r>
        <w:rPr>
          <w:rFonts w:ascii="Times New Roman" w:eastAsia="Times New Roman" w:hAnsi="Times New Roman" w:cs="Times New Roman"/>
          <w:i/>
          <w:sz w:val="24"/>
          <w:szCs w:val="24"/>
        </w:rPr>
        <w:t>Questione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Vigesima</w:t>
      </w:r>
      <w:proofErr w:type="spellEnd"/>
      <w:r>
        <w:rPr>
          <w:rFonts w:ascii="Times New Roman" w:eastAsia="Times New Roman" w:hAnsi="Times New Roman" w:cs="Times New Roman"/>
          <w:i/>
          <w:sz w:val="24"/>
          <w:szCs w:val="24"/>
        </w:rPr>
        <w:t xml:space="preserve"> Septima </w:t>
      </w:r>
      <w:proofErr w:type="spellStart"/>
      <w:r>
        <w:rPr>
          <w:rFonts w:ascii="Times New Roman" w:eastAsia="Times New Roman" w:hAnsi="Times New Roman" w:cs="Times New Roman"/>
          <w:i/>
          <w:sz w:val="24"/>
          <w:szCs w:val="24"/>
        </w:rPr>
        <w:t>usque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ad</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centesimam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quintam</w:t>
      </w:r>
      <w:proofErr w:type="spellEnd"/>
      <w:r>
        <w:rPr>
          <w:rFonts w:ascii="Times New Roman" w:eastAsia="Times New Roman" w:hAnsi="Times New Roman" w:cs="Times New Roman"/>
          <w:sz w:val="24"/>
          <w:szCs w:val="24"/>
        </w:rPr>
        <w:t xml:space="preserve"> Tomus Tertius. Ex </w:t>
      </w:r>
      <w:proofErr w:type="spellStart"/>
      <w:r>
        <w:rPr>
          <w:rFonts w:ascii="Times New Roman" w:eastAsia="Times New Roman" w:hAnsi="Times New Roman" w:cs="Times New Roman"/>
          <w:sz w:val="24"/>
          <w:szCs w:val="24"/>
        </w:rPr>
        <w:t>Officina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Lucae</w:t>
      </w:r>
      <w:proofErr w:type="spellEnd"/>
      <w:r>
        <w:rPr>
          <w:rFonts w:ascii="Times New Roman" w:eastAsia="Times New Roman" w:hAnsi="Times New Roman" w:cs="Times New Roman"/>
          <w:sz w:val="24"/>
          <w:szCs w:val="24"/>
        </w:rPr>
        <w:t xml:space="preserve"> Perez.</w:t>
      </w:r>
    </w:p>
    <w:p w14:paraId="00000088" w14:textId="77777777" w:rsidR="008D1538" w:rsidRDefault="00000000">
      <w:pPr>
        <w:spacing w:before="200"/>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Gonet, Joanne Baptista. 1744. </w:t>
      </w:r>
      <w:proofErr w:type="spellStart"/>
      <w:r>
        <w:rPr>
          <w:rFonts w:ascii="Times New Roman" w:eastAsia="Times New Roman" w:hAnsi="Times New Roman" w:cs="Times New Roman"/>
          <w:i/>
          <w:sz w:val="24"/>
          <w:szCs w:val="24"/>
        </w:rPr>
        <w:t>Manuale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Thomistarum</w:t>
      </w:r>
      <w:proofErr w:type="spellEnd"/>
      <w:r>
        <w:rPr>
          <w:rFonts w:ascii="Times New Roman" w:eastAsia="Times New Roman" w:hAnsi="Times New Roman" w:cs="Times New Roman"/>
          <w:i/>
          <w:sz w:val="24"/>
          <w:szCs w:val="24"/>
        </w:rPr>
        <w:t xml:space="preserve"> Seu </w:t>
      </w:r>
      <w:proofErr w:type="spellStart"/>
      <w:r>
        <w:rPr>
          <w:rFonts w:ascii="Times New Roman" w:eastAsia="Times New Roman" w:hAnsi="Times New Roman" w:cs="Times New Roman"/>
          <w:i/>
          <w:sz w:val="24"/>
          <w:szCs w:val="24"/>
        </w:rPr>
        <w:t>Totius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Theologiae</w:t>
      </w:r>
      <w:proofErr w:type="spellEnd"/>
      <w:r>
        <w:rPr>
          <w:rFonts w:ascii="Times New Roman" w:eastAsia="Times New Roman" w:hAnsi="Times New Roman" w:cs="Times New Roman"/>
          <w:i/>
          <w:sz w:val="24"/>
          <w:szCs w:val="24"/>
        </w:rPr>
        <w:t xml:space="preserve"> Brevis Cursus.</w:t>
      </w:r>
      <w:r>
        <w:rPr>
          <w:rFonts w:ascii="Times New Roman" w:eastAsia="Times New Roman" w:hAnsi="Times New Roman" w:cs="Times New Roman"/>
          <w:sz w:val="24"/>
          <w:szCs w:val="24"/>
        </w:rPr>
        <w:t xml:space="preserve"> Apud </w:t>
      </w:r>
      <w:proofErr w:type="spellStart"/>
      <w:r>
        <w:rPr>
          <w:rFonts w:ascii="Times New Roman" w:eastAsia="Times New Roman" w:hAnsi="Times New Roman" w:cs="Times New Roman"/>
          <w:sz w:val="24"/>
          <w:szCs w:val="24"/>
        </w:rPr>
        <w:t>Franciscum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Pitteri</w:t>
      </w:r>
      <w:proofErr w:type="spellEnd"/>
      <w:r>
        <w:rPr>
          <w:rFonts w:ascii="Times New Roman" w:eastAsia="Times New Roman" w:hAnsi="Times New Roman" w:cs="Times New Roman"/>
          <w:sz w:val="24"/>
          <w:szCs w:val="24"/>
        </w:rPr>
        <w:t xml:space="preserve"> (Antwerp). </w:t>
      </w:r>
    </w:p>
    <w:p w14:paraId="00000089" w14:textId="77777777" w:rsidR="008D1538" w:rsidRDefault="00000000">
      <w:pPr>
        <w:spacing w:before="200"/>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John of St. Thomas. 1663. </w:t>
      </w:r>
      <w:r>
        <w:rPr>
          <w:rFonts w:ascii="Times New Roman" w:eastAsia="Times New Roman" w:hAnsi="Times New Roman" w:cs="Times New Roman"/>
          <w:i/>
          <w:sz w:val="24"/>
          <w:szCs w:val="24"/>
        </w:rPr>
        <w:t xml:space="preserve">Cursus </w:t>
      </w:r>
      <w:proofErr w:type="spellStart"/>
      <w:r>
        <w:rPr>
          <w:rFonts w:ascii="Times New Roman" w:eastAsia="Times New Roman" w:hAnsi="Times New Roman" w:cs="Times New Roman"/>
          <w:i/>
          <w:sz w:val="24"/>
          <w:szCs w:val="24"/>
        </w:rPr>
        <w:t>Philosophicus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Thomisticus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sz w:val="24"/>
          <w:szCs w:val="24"/>
        </w:rPr>
        <w:t>Sumptibus</w:t>
      </w:r>
      <w:proofErr w:type="spellEnd"/>
      <w:r>
        <w:rPr>
          <w:rFonts w:ascii="Times New Roman" w:eastAsia="Times New Roman" w:hAnsi="Times New Roman" w:cs="Times New Roman"/>
          <w:sz w:val="24"/>
          <w:szCs w:val="24"/>
        </w:rPr>
        <w:t xml:space="preserve"> Philippi Borde, </w:t>
      </w:r>
      <w:proofErr w:type="spellStart"/>
      <w:r>
        <w:rPr>
          <w:rFonts w:ascii="Times New Roman" w:eastAsia="Times New Roman" w:hAnsi="Times New Roman" w:cs="Times New Roman"/>
          <w:sz w:val="24"/>
          <w:szCs w:val="24"/>
        </w:rPr>
        <w:t>Laurentii</w:t>
      </w:r>
      <w:proofErr w:type="spellEnd"/>
      <w:r>
        <w:rPr>
          <w:rFonts w:ascii="Times New Roman" w:eastAsia="Times New Roman" w:hAnsi="Times New Roman" w:cs="Times New Roman"/>
          <w:sz w:val="24"/>
          <w:szCs w:val="24"/>
        </w:rPr>
        <w:t xml:space="preserve"> Arnaud, Petri Borde, et </w:t>
      </w:r>
      <w:proofErr w:type="spellStart"/>
      <w:r>
        <w:rPr>
          <w:rFonts w:ascii="Times New Roman" w:eastAsia="Times New Roman" w:hAnsi="Times New Roman" w:cs="Times New Roman"/>
          <w:sz w:val="24"/>
          <w:szCs w:val="24"/>
        </w:rPr>
        <w:t>Guillielmi</w:t>
      </w:r>
      <w:proofErr w:type="spellEnd"/>
      <w:r>
        <w:rPr>
          <w:rFonts w:ascii="Times New Roman" w:eastAsia="Times New Roman" w:hAnsi="Times New Roman" w:cs="Times New Roman"/>
          <w:sz w:val="24"/>
          <w:szCs w:val="24"/>
        </w:rPr>
        <w:t xml:space="preserve"> Barbier (Lyon).</w:t>
      </w:r>
    </w:p>
    <w:p w14:paraId="0000008A" w14:textId="77777777" w:rsidR="008D1538" w:rsidRDefault="00000000">
      <w:pPr>
        <w:spacing w:before="200"/>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1711. </w:t>
      </w:r>
      <w:r>
        <w:rPr>
          <w:rFonts w:ascii="Times New Roman" w:eastAsia="Times New Roman" w:hAnsi="Times New Roman" w:cs="Times New Roman"/>
          <w:i/>
          <w:sz w:val="24"/>
          <w:szCs w:val="24"/>
        </w:rPr>
        <w:t xml:space="preserve">Cursus </w:t>
      </w:r>
      <w:proofErr w:type="spellStart"/>
      <w:r>
        <w:rPr>
          <w:rFonts w:ascii="Times New Roman" w:eastAsia="Times New Roman" w:hAnsi="Times New Roman" w:cs="Times New Roman"/>
          <w:i/>
          <w:sz w:val="24"/>
          <w:szCs w:val="24"/>
        </w:rPr>
        <w:t>Theologicus</w:t>
      </w:r>
      <w:proofErr w:type="spellEnd"/>
      <w:r>
        <w:rPr>
          <w:rFonts w:ascii="Times New Roman" w:eastAsia="Times New Roman" w:hAnsi="Times New Roman" w:cs="Times New Roman"/>
          <w:i/>
          <w:sz w:val="24"/>
          <w:szCs w:val="24"/>
        </w:rPr>
        <w:t xml:space="preserve"> in Primam Partem D. Thomae Tomi </w:t>
      </w:r>
      <w:proofErr w:type="spellStart"/>
      <w:r>
        <w:rPr>
          <w:rFonts w:ascii="Times New Roman" w:eastAsia="Times New Roman" w:hAnsi="Times New Roman" w:cs="Times New Roman"/>
          <w:i/>
          <w:sz w:val="24"/>
          <w:szCs w:val="24"/>
        </w:rPr>
        <w:t>Secundi</w:t>
      </w:r>
      <w:proofErr w:type="spellEnd"/>
      <w:r>
        <w:rPr>
          <w:rFonts w:ascii="Times New Roman" w:eastAsia="Times New Roman" w:hAnsi="Times New Roman" w:cs="Times New Roman"/>
          <w:i/>
          <w:sz w:val="24"/>
          <w:szCs w:val="24"/>
        </w:rPr>
        <w:t xml:space="preserve"> Pars Altera: A </w:t>
      </w:r>
      <w:proofErr w:type="spellStart"/>
      <w:r>
        <w:rPr>
          <w:rFonts w:ascii="Times New Roman" w:eastAsia="Times New Roman" w:hAnsi="Times New Roman" w:cs="Times New Roman"/>
          <w:i/>
          <w:sz w:val="24"/>
          <w:szCs w:val="24"/>
        </w:rPr>
        <w:t>Quaestione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Viegsima</w:t>
      </w:r>
      <w:proofErr w:type="spellEnd"/>
      <w:r>
        <w:rPr>
          <w:rFonts w:ascii="Times New Roman" w:eastAsia="Times New Roman" w:hAnsi="Times New Roman" w:cs="Times New Roman"/>
          <w:i/>
          <w:sz w:val="24"/>
          <w:szCs w:val="24"/>
        </w:rPr>
        <w:t xml:space="preserve"> Septima ad finem </w:t>
      </w:r>
      <w:proofErr w:type="spellStart"/>
      <w:r>
        <w:rPr>
          <w:rFonts w:ascii="Times New Roman" w:eastAsia="Times New Roman" w:hAnsi="Times New Roman" w:cs="Times New Roman"/>
          <w:i/>
          <w:sz w:val="24"/>
          <w:szCs w:val="24"/>
        </w:rPr>
        <w:t>usque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eiusdem</w:t>
      </w:r>
      <w:proofErr w:type="spellEnd"/>
      <w:r>
        <w:rPr>
          <w:rFonts w:ascii="Times New Roman" w:eastAsia="Times New Roman" w:hAnsi="Times New Roman" w:cs="Times New Roman"/>
          <w:i/>
          <w:sz w:val="24"/>
          <w:szCs w:val="24"/>
        </w:rPr>
        <w:t xml:space="preserve"> partis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Sumpt</w:t>
      </w:r>
      <w:proofErr w:type="spellEnd"/>
      <w:r>
        <w:rPr>
          <w:rFonts w:ascii="Times New Roman" w:eastAsia="Times New Roman" w:hAnsi="Times New Roman" w:cs="Times New Roman"/>
          <w:sz w:val="24"/>
          <w:szCs w:val="24"/>
        </w:rPr>
        <w:t>. Wilhelmi Metternich.</w:t>
      </w:r>
    </w:p>
    <w:p w14:paraId="0000008B" w14:textId="77777777" w:rsidR="008D1538" w:rsidRDefault="00000000">
      <w:pPr>
        <w:spacing w:before="200"/>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Leibniz, G.W. 2006. </w:t>
      </w:r>
      <w:r>
        <w:rPr>
          <w:rFonts w:ascii="Times New Roman" w:eastAsia="Times New Roman" w:hAnsi="Times New Roman" w:cs="Times New Roman"/>
          <w:i/>
          <w:sz w:val="24"/>
          <w:szCs w:val="24"/>
        </w:rPr>
        <w:t>The Art of Controversies</w:t>
      </w:r>
      <w:r>
        <w:rPr>
          <w:rFonts w:ascii="Times New Roman" w:eastAsia="Times New Roman" w:hAnsi="Times New Roman" w:cs="Times New Roman"/>
          <w:sz w:val="24"/>
          <w:szCs w:val="24"/>
        </w:rPr>
        <w:t xml:space="preserve">, ed. and trans. by Marcelo Dascal (Dordrecht). </w:t>
      </w:r>
    </w:p>
    <w:p w14:paraId="0000008C" w14:textId="77777777" w:rsidR="008D1538" w:rsidRDefault="00000000">
      <w:pPr>
        <w:spacing w:before="200"/>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Mastri, Bartholomeo. 1731.</w:t>
      </w:r>
      <w:r>
        <w:rPr>
          <w:rFonts w:ascii="Times New Roman" w:eastAsia="Times New Roman" w:hAnsi="Times New Roman" w:cs="Times New Roman"/>
          <w:i/>
          <w:sz w:val="24"/>
          <w:szCs w:val="24"/>
        </w:rPr>
        <w:t xml:space="preserve"> Disputationes </w:t>
      </w:r>
      <w:proofErr w:type="spellStart"/>
      <w:r>
        <w:rPr>
          <w:rFonts w:ascii="Times New Roman" w:eastAsia="Times New Roman" w:hAnsi="Times New Roman" w:cs="Times New Roman"/>
          <w:i/>
          <w:sz w:val="24"/>
          <w:szCs w:val="24"/>
        </w:rPr>
        <w:t>Theologicae</w:t>
      </w:r>
      <w:proofErr w:type="spellEnd"/>
      <w:r>
        <w:rPr>
          <w:rFonts w:ascii="Times New Roman" w:eastAsia="Times New Roman" w:hAnsi="Times New Roman" w:cs="Times New Roman"/>
          <w:i/>
          <w:sz w:val="24"/>
          <w:szCs w:val="24"/>
        </w:rPr>
        <w:t xml:space="preserve"> in Primum </w:t>
      </w:r>
      <w:proofErr w:type="spellStart"/>
      <w:r>
        <w:rPr>
          <w:rFonts w:ascii="Times New Roman" w:eastAsia="Times New Roman" w:hAnsi="Times New Roman" w:cs="Times New Roman"/>
          <w:i/>
          <w:sz w:val="24"/>
          <w:szCs w:val="24"/>
        </w:rPr>
        <w:t>Librum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Sententiarum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Quibus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ad</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adversantibus</w:t>
      </w:r>
      <w:proofErr w:type="spellEnd"/>
      <w:r>
        <w:rPr>
          <w:rFonts w:ascii="Times New Roman" w:eastAsia="Times New Roman" w:hAnsi="Times New Roman" w:cs="Times New Roman"/>
          <w:i/>
          <w:sz w:val="24"/>
          <w:szCs w:val="24"/>
        </w:rPr>
        <w:t xml:space="preserve">, tum </w:t>
      </w:r>
      <w:proofErr w:type="spellStart"/>
      <w:r>
        <w:rPr>
          <w:rFonts w:ascii="Times New Roman" w:eastAsia="Times New Roman" w:hAnsi="Times New Roman" w:cs="Times New Roman"/>
          <w:i/>
          <w:sz w:val="24"/>
          <w:szCs w:val="24"/>
        </w:rPr>
        <w:t>Veterum</w:t>
      </w:r>
      <w:proofErr w:type="spellEnd"/>
      <w:r>
        <w:rPr>
          <w:rFonts w:ascii="Times New Roman" w:eastAsia="Times New Roman" w:hAnsi="Times New Roman" w:cs="Times New Roman"/>
          <w:i/>
          <w:sz w:val="24"/>
          <w:szCs w:val="24"/>
        </w:rPr>
        <w:t xml:space="preserve">, tum </w:t>
      </w:r>
      <w:proofErr w:type="spellStart"/>
      <w:r>
        <w:rPr>
          <w:rFonts w:ascii="Times New Roman" w:eastAsia="Times New Roman" w:hAnsi="Times New Roman" w:cs="Times New Roman"/>
          <w:i/>
          <w:sz w:val="24"/>
          <w:szCs w:val="24"/>
        </w:rPr>
        <w:t>Recentiorum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iaculis</w:t>
      </w:r>
      <w:proofErr w:type="spellEnd"/>
      <w:r>
        <w:rPr>
          <w:rFonts w:ascii="Times New Roman" w:eastAsia="Times New Roman" w:hAnsi="Times New Roman" w:cs="Times New Roman"/>
          <w:i/>
          <w:sz w:val="24"/>
          <w:szCs w:val="24"/>
        </w:rPr>
        <w:t xml:space="preserve">, Scoti </w:t>
      </w:r>
      <w:proofErr w:type="spellStart"/>
      <w:r>
        <w:rPr>
          <w:rFonts w:ascii="Times New Roman" w:eastAsia="Times New Roman" w:hAnsi="Times New Roman" w:cs="Times New Roman"/>
          <w:i/>
          <w:sz w:val="24"/>
          <w:szCs w:val="24"/>
        </w:rPr>
        <w:t>Theologia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Vindicatur</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Ex </w:t>
      </w:r>
      <w:proofErr w:type="spellStart"/>
      <w:r>
        <w:rPr>
          <w:rFonts w:ascii="Times New Roman" w:eastAsia="Times New Roman" w:hAnsi="Times New Roman" w:cs="Times New Roman"/>
          <w:sz w:val="24"/>
          <w:szCs w:val="24"/>
        </w:rPr>
        <w:t>Typographia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Balleoniana</w:t>
      </w:r>
      <w:proofErr w:type="spellEnd"/>
      <w:r>
        <w:rPr>
          <w:rFonts w:ascii="Times New Roman" w:eastAsia="Times New Roman" w:hAnsi="Times New Roman" w:cs="Times New Roman"/>
          <w:sz w:val="24"/>
          <w:szCs w:val="24"/>
        </w:rPr>
        <w:t xml:space="preserve"> (Venice). </w:t>
      </w:r>
    </w:p>
    <w:p w14:paraId="0000008D" w14:textId="77777777" w:rsidR="008D1538" w:rsidRDefault="00000000">
      <w:pPr>
        <w:spacing w:before="200"/>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Mastri, Bartholomeo and Bonaventura </w:t>
      </w:r>
      <w:proofErr w:type="spellStart"/>
      <w:r>
        <w:rPr>
          <w:rFonts w:ascii="Times New Roman" w:eastAsia="Times New Roman" w:hAnsi="Times New Roman" w:cs="Times New Roman"/>
          <w:sz w:val="24"/>
          <w:szCs w:val="24"/>
        </w:rPr>
        <w:t>Belluto</w:t>
      </w:r>
      <w:proofErr w:type="spellEnd"/>
      <w:r>
        <w:rPr>
          <w:rFonts w:ascii="Times New Roman" w:eastAsia="Times New Roman" w:hAnsi="Times New Roman" w:cs="Times New Roman"/>
          <w:sz w:val="24"/>
          <w:szCs w:val="24"/>
        </w:rPr>
        <w:t xml:space="preserve">. 1757. </w:t>
      </w:r>
      <w:r>
        <w:rPr>
          <w:rFonts w:ascii="Times New Roman" w:eastAsia="Times New Roman" w:hAnsi="Times New Roman" w:cs="Times New Roman"/>
          <w:i/>
          <w:sz w:val="24"/>
          <w:szCs w:val="24"/>
        </w:rPr>
        <w:t xml:space="preserve">Cursus </w:t>
      </w:r>
      <w:proofErr w:type="spellStart"/>
      <w:r>
        <w:rPr>
          <w:rFonts w:ascii="Times New Roman" w:eastAsia="Times New Roman" w:hAnsi="Times New Roman" w:cs="Times New Roman"/>
          <w:i/>
          <w:sz w:val="24"/>
          <w:szCs w:val="24"/>
        </w:rPr>
        <w:t>Philosophicus</w:t>
      </w:r>
      <w:proofErr w:type="spellEnd"/>
      <w:r>
        <w:rPr>
          <w:rFonts w:ascii="Times New Roman" w:eastAsia="Times New Roman" w:hAnsi="Times New Roman" w:cs="Times New Roman"/>
          <w:i/>
          <w:sz w:val="24"/>
          <w:szCs w:val="24"/>
        </w:rPr>
        <w:t xml:space="preserve"> in </w:t>
      </w:r>
      <w:proofErr w:type="spellStart"/>
      <w:r>
        <w:rPr>
          <w:rFonts w:ascii="Times New Roman" w:eastAsia="Times New Roman" w:hAnsi="Times New Roman" w:cs="Times New Roman"/>
          <w:i/>
          <w:sz w:val="24"/>
          <w:szCs w:val="24"/>
        </w:rPr>
        <w:t>Quinque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Tomos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Distributus</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Apud </w:t>
      </w:r>
      <w:proofErr w:type="spellStart"/>
      <w:r>
        <w:rPr>
          <w:rFonts w:ascii="Times New Roman" w:eastAsia="Times New Roman" w:hAnsi="Times New Roman" w:cs="Times New Roman"/>
          <w:sz w:val="24"/>
          <w:szCs w:val="24"/>
        </w:rPr>
        <w:t>Nicolaum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Pezzana</w:t>
      </w:r>
      <w:proofErr w:type="spellEnd"/>
      <w:r>
        <w:rPr>
          <w:rFonts w:ascii="Times New Roman" w:eastAsia="Times New Roman" w:hAnsi="Times New Roman" w:cs="Times New Roman"/>
          <w:sz w:val="24"/>
          <w:szCs w:val="24"/>
        </w:rPr>
        <w:t xml:space="preserve"> (Venice).</w:t>
      </w:r>
    </w:p>
    <w:p w14:paraId="0000008E" w14:textId="77777777" w:rsidR="008D1538" w:rsidRDefault="00000000">
      <w:pPr>
        <w:spacing w:before="200"/>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Mezger, Paul. 1695. </w:t>
      </w:r>
      <w:proofErr w:type="spellStart"/>
      <w:r>
        <w:rPr>
          <w:rFonts w:ascii="Times New Roman" w:eastAsia="Times New Roman" w:hAnsi="Times New Roman" w:cs="Times New Roman"/>
          <w:i/>
          <w:sz w:val="24"/>
          <w:szCs w:val="24"/>
        </w:rPr>
        <w:t>Theologia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Thomistico</w:t>
      </w:r>
      <w:proofErr w:type="spellEnd"/>
      <w:r>
        <w:rPr>
          <w:rFonts w:ascii="Times New Roman" w:eastAsia="Times New Roman" w:hAnsi="Times New Roman" w:cs="Times New Roman"/>
          <w:i/>
          <w:sz w:val="24"/>
          <w:szCs w:val="24"/>
        </w:rPr>
        <w:t xml:space="preserve">-Scholastica </w:t>
      </w:r>
      <w:proofErr w:type="spellStart"/>
      <w:r>
        <w:rPr>
          <w:rFonts w:ascii="Times New Roman" w:eastAsia="Times New Roman" w:hAnsi="Times New Roman" w:cs="Times New Roman"/>
          <w:i/>
          <w:sz w:val="24"/>
          <w:szCs w:val="24"/>
        </w:rPr>
        <w:t>Salisburgensis</w:t>
      </w:r>
      <w:proofErr w:type="spellEnd"/>
      <w:r>
        <w:rPr>
          <w:rFonts w:ascii="Times New Roman" w:eastAsia="Times New Roman" w:hAnsi="Times New Roman" w:cs="Times New Roman"/>
          <w:i/>
          <w:sz w:val="24"/>
          <w:szCs w:val="24"/>
        </w:rPr>
        <w:t xml:space="preserve"> et Historia Sacra Gentis </w:t>
      </w:r>
      <w:proofErr w:type="spellStart"/>
      <w:r>
        <w:rPr>
          <w:rFonts w:ascii="Times New Roman" w:eastAsia="Times New Roman" w:hAnsi="Times New Roman" w:cs="Times New Roman"/>
          <w:i/>
          <w:sz w:val="24"/>
          <w:szCs w:val="24"/>
        </w:rPr>
        <w:t>Hebraicae</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Vol. I. </w:t>
      </w:r>
      <w:proofErr w:type="spellStart"/>
      <w:r>
        <w:rPr>
          <w:rFonts w:ascii="Times New Roman" w:eastAsia="Times New Roman" w:hAnsi="Times New Roman" w:cs="Times New Roman"/>
          <w:sz w:val="24"/>
          <w:szCs w:val="24"/>
        </w:rPr>
        <w:t>Sumptibus</w:t>
      </w:r>
      <w:proofErr w:type="spellEnd"/>
      <w:r>
        <w:rPr>
          <w:rFonts w:ascii="Times New Roman" w:eastAsia="Times New Roman" w:hAnsi="Times New Roman" w:cs="Times New Roman"/>
          <w:sz w:val="24"/>
          <w:szCs w:val="24"/>
        </w:rPr>
        <w:t xml:space="preserve"> Joannis Caspari Bencard.</w:t>
      </w:r>
    </w:p>
    <w:p w14:paraId="0000008F" w14:textId="77777777" w:rsidR="008D1538" w:rsidRDefault="00000000">
      <w:pPr>
        <w:spacing w:before="200"/>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Oviedo, Francis. 1663. </w:t>
      </w:r>
      <w:r>
        <w:rPr>
          <w:rFonts w:ascii="Times New Roman" w:eastAsia="Times New Roman" w:hAnsi="Times New Roman" w:cs="Times New Roman"/>
          <w:i/>
          <w:sz w:val="24"/>
          <w:szCs w:val="24"/>
        </w:rPr>
        <w:t xml:space="preserve">Cursus </w:t>
      </w:r>
      <w:proofErr w:type="spellStart"/>
      <w:r>
        <w:rPr>
          <w:rFonts w:ascii="Times New Roman" w:eastAsia="Times New Roman" w:hAnsi="Times New Roman" w:cs="Times New Roman"/>
          <w:i/>
          <w:sz w:val="24"/>
          <w:szCs w:val="24"/>
        </w:rPr>
        <w:t>Philosophicus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Tomus II. </w:t>
      </w:r>
      <w:proofErr w:type="spellStart"/>
      <w:r>
        <w:rPr>
          <w:rFonts w:ascii="Times New Roman" w:eastAsia="Times New Roman" w:hAnsi="Times New Roman" w:cs="Times New Roman"/>
          <w:sz w:val="24"/>
          <w:szCs w:val="24"/>
        </w:rPr>
        <w:t>Sumpt</w:t>
      </w:r>
      <w:proofErr w:type="spellEnd"/>
      <w:r>
        <w:rPr>
          <w:rFonts w:ascii="Times New Roman" w:eastAsia="Times New Roman" w:hAnsi="Times New Roman" w:cs="Times New Roman"/>
          <w:sz w:val="24"/>
          <w:szCs w:val="24"/>
        </w:rPr>
        <w:t xml:space="preserve">. Philippi </w:t>
      </w:r>
      <w:proofErr w:type="spellStart"/>
      <w:proofErr w:type="gramStart"/>
      <w:r>
        <w:rPr>
          <w:rFonts w:ascii="Times New Roman" w:eastAsia="Times New Roman" w:hAnsi="Times New Roman" w:cs="Times New Roman"/>
          <w:sz w:val="24"/>
          <w:szCs w:val="24"/>
        </w:rPr>
        <w:t>Borde,Laurentii</w:t>
      </w:r>
      <w:proofErr w:type="spellEnd"/>
      <w:proofErr w:type="gramEnd"/>
      <w:r>
        <w:rPr>
          <w:rFonts w:ascii="Times New Roman" w:eastAsia="Times New Roman" w:hAnsi="Times New Roman" w:cs="Times New Roman"/>
          <w:sz w:val="24"/>
          <w:szCs w:val="24"/>
        </w:rPr>
        <w:t xml:space="preserve"> Arnaud, Petri Borde, et </w:t>
      </w:r>
      <w:proofErr w:type="spellStart"/>
      <w:r>
        <w:rPr>
          <w:rFonts w:ascii="Times New Roman" w:eastAsia="Times New Roman" w:hAnsi="Times New Roman" w:cs="Times New Roman"/>
          <w:sz w:val="24"/>
          <w:szCs w:val="24"/>
        </w:rPr>
        <w:t>Guilielmi</w:t>
      </w:r>
      <w:proofErr w:type="spellEnd"/>
      <w:r>
        <w:rPr>
          <w:rFonts w:ascii="Times New Roman" w:eastAsia="Times New Roman" w:hAnsi="Times New Roman" w:cs="Times New Roman"/>
          <w:sz w:val="24"/>
          <w:szCs w:val="24"/>
        </w:rPr>
        <w:t xml:space="preserve"> Barbier (Lyon).</w:t>
      </w:r>
    </w:p>
    <w:p w14:paraId="00000090" w14:textId="77777777" w:rsidR="008D1538" w:rsidRDefault="00000000">
      <w:pPr>
        <w:spacing w:before="200"/>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Salmanticenses</w:t>
      </w:r>
      <w:proofErr w:type="spellEnd"/>
      <w:r>
        <w:rPr>
          <w:rFonts w:ascii="Times New Roman" w:eastAsia="Times New Roman" w:hAnsi="Times New Roman" w:cs="Times New Roman"/>
          <w:sz w:val="24"/>
          <w:szCs w:val="24"/>
        </w:rPr>
        <w:t xml:space="preserve">. 1679. </w:t>
      </w:r>
      <w:r>
        <w:rPr>
          <w:rFonts w:ascii="Times New Roman" w:eastAsia="Times New Roman" w:hAnsi="Times New Roman" w:cs="Times New Roman"/>
          <w:i/>
          <w:sz w:val="24"/>
          <w:szCs w:val="24"/>
        </w:rPr>
        <w:t xml:space="preserve">Cursus </w:t>
      </w:r>
      <w:proofErr w:type="spellStart"/>
      <w:r>
        <w:rPr>
          <w:rFonts w:ascii="Times New Roman" w:eastAsia="Times New Roman" w:hAnsi="Times New Roman" w:cs="Times New Roman"/>
          <w:i/>
          <w:sz w:val="24"/>
          <w:szCs w:val="24"/>
        </w:rPr>
        <w:t>Theologicus</w:t>
      </w:r>
      <w:proofErr w:type="spellEnd"/>
      <w:r>
        <w:rPr>
          <w:rFonts w:ascii="Times New Roman" w:eastAsia="Times New Roman" w:hAnsi="Times New Roman" w:cs="Times New Roman"/>
          <w:i/>
          <w:sz w:val="24"/>
          <w:szCs w:val="24"/>
        </w:rPr>
        <w:t xml:space="preserve"> Angelico </w:t>
      </w:r>
      <w:proofErr w:type="spellStart"/>
      <w:r>
        <w:rPr>
          <w:rFonts w:ascii="Times New Roman" w:eastAsia="Times New Roman" w:hAnsi="Times New Roman" w:cs="Times New Roman"/>
          <w:i/>
          <w:sz w:val="24"/>
          <w:szCs w:val="24"/>
        </w:rPr>
        <w:t>Doctori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Dicatus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Summam</w:t>
      </w:r>
      <w:proofErr w:type="spellEnd"/>
      <w:r>
        <w:rPr>
          <w:rFonts w:ascii="Times New Roman" w:eastAsia="Times New Roman" w:hAnsi="Times New Roman" w:cs="Times New Roman"/>
          <w:i/>
          <w:sz w:val="24"/>
          <w:szCs w:val="24"/>
        </w:rPr>
        <w:t xml:space="preserve"> eius </w:t>
      </w:r>
      <w:proofErr w:type="spellStart"/>
      <w:r>
        <w:rPr>
          <w:rFonts w:ascii="Times New Roman" w:eastAsia="Times New Roman" w:hAnsi="Times New Roman" w:cs="Times New Roman"/>
          <w:i/>
          <w:sz w:val="24"/>
          <w:szCs w:val="24"/>
        </w:rPr>
        <w:t>Theologicam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complectens</w:t>
      </w:r>
      <w:proofErr w:type="spellEnd"/>
      <w:r>
        <w:rPr>
          <w:rFonts w:ascii="Times New Roman" w:eastAsia="Times New Roman" w:hAnsi="Times New Roman" w:cs="Times New Roman"/>
          <w:sz w:val="24"/>
          <w:szCs w:val="24"/>
        </w:rPr>
        <w:t xml:space="preserve"> Tomus Secundus Pars Prior. </w:t>
      </w:r>
      <w:proofErr w:type="spellStart"/>
      <w:r>
        <w:rPr>
          <w:rFonts w:ascii="Times New Roman" w:eastAsia="Times New Roman" w:hAnsi="Times New Roman" w:cs="Times New Roman"/>
          <w:sz w:val="24"/>
          <w:szCs w:val="24"/>
        </w:rPr>
        <w:t>Sumpt</w:t>
      </w:r>
      <w:proofErr w:type="spellEnd"/>
      <w:r>
        <w:rPr>
          <w:rFonts w:ascii="Times New Roman" w:eastAsia="Times New Roman" w:hAnsi="Times New Roman" w:cs="Times New Roman"/>
          <w:sz w:val="24"/>
          <w:szCs w:val="24"/>
        </w:rPr>
        <w:t xml:space="preserve">. Joannis </w:t>
      </w:r>
      <w:proofErr w:type="spellStart"/>
      <w:r>
        <w:rPr>
          <w:rFonts w:ascii="Times New Roman" w:eastAsia="Times New Roman" w:hAnsi="Times New Roman" w:cs="Times New Roman"/>
          <w:sz w:val="24"/>
          <w:szCs w:val="24"/>
        </w:rPr>
        <w:t>Antonii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Huguetan</w:t>
      </w:r>
      <w:proofErr w:type="spellEnd"/>
      <w:r>
        <w:rPr>
          <w:rFonts w:ascii="Times New Roman" w:eastAsia="Times New Roman" w:hAnsi="Times New Roman" w:cs="Times New Roman"/>
          <w:sz w:val="24"/>
          <w:szCs w:val="24"/>
        </w:rPr>
        <w:t xml:space="preserve"> &amp; Soc. (Lyon).</w:t>
      </w:r>
    </w:p>
    <w:p w14:paraId="00000091" w14:textId="77777777" w:rsidR="008D1538" w:rsidRDefault="00000000">
      <w:pPr>
        <w:spacing w:before="200" w:after="240"/>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Sannig, Bernard. 1684. </w:t>
      </w:r>
      <w:r>
        <w:rPr>
          <w:rFonts w:ascii="Times New Roman" w:eastAsia="Times New Roman" w:hAnsi="Times New Roman" w:cs="Times New Roman"/>
          <w:i/>
          <w:sz w:val="24"/>
          <w:szCs w:val="24"/>
        </w:rPr>
        <w:t xml:space="preserve">Scholae </w:t>
      </w:r>
      <w:proofErr w:type="spellStart"/>
      <w:r>
        <w:rPr>
          <w:rFonts w:ascii="Times New Roman" w:eastAsia="Times New Roman" w:hAnsi="Times New Roman" w:cs="Times New Roman"/>
          <w:i/>
          <w:sz w:val="24"/>
          <w:szCs w:val="24"/>
        </w:rPr>
        <w:t>Philosophicae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Scotistarum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seu</w:t>
      </w:r>
      <w:proofErr w:type="spellEnd"/>
      <w:r>
        <w:rPr>
          <w:rFonts w:ascii="Times New Roman" w:eastAsia="Times New Roman" w:hAnsi="Times New Roman" w:cs="Times New Roman"/>
          <w:i/>
          <w:sz w:val="24"/>
          <w:szCs w:val="24"/>
        </w:rPr>
        <w:t xml:space="preserve"> Cursus </w:t>
      </w:r>
      <w:proofErr w:type="spellStart"/>
      <w:r>
        <w:rPr>
          <w:rFonts w:ascii="Times New Roman" w:eastAsia="Times New Roman" w:hAnsi="Times New Roman" w:cs="Times New Roman"/>
          <w:i/>
          <w:sz w:val="24"/>
          <w:szCs w:val="24"/>
        </w:rPr>
        <w:t>Philosophici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ad</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Mentem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Doctoris</w:t>
      </w:r>
      <w:proofErr w:type="spellEnd"/>
      <w:r>
        <w:rPr>
          <w:rFonts w:ascii="Times New Roman" w:eastAsia="Times New Roman" w:hAnsi="Times New Roman" w:cs="Times New Roman"/>
          <w:i/>
          <w:sz w:val="24"/>
          <w:szCs w:val="24"/>
        </w:rPr>
        <w:t xml:space="preserve"> Subtilis Joannis Duns Scoti: Tomus I. </w:t>
      </w:r>
      <w:proofErr w:type="spellStart"/>
      <w:r>
        <w:rPr>
          <w:rFonts w:ascii="Times New Roman" w:eastAsia="Times New Roman" w:hAnsi="Times New Roman" w:cs="Times New Roman"/>
          <w:sz w:val="24"/>
          <w:szCs w:val="24"/>
        </w:rPr>
        <w:t>Typis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Catharinae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Czernochianae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Viduae</w:t>
      </w:r>
      <w:proofErr w:type="spellEnd"/>
      <w:r>
        <w:rPr>
          <w:rFonts w:ascii="Times New Roman" w:eastAsia="Times New Roman" w:hAnsi="Times New Roman" w:cs="Times New Roman"/>
          <w:sz w:val="24"/>
          <w:szCs w:val="24"/>
        </w:rPr>
        <w:t xml:space="preserve"> (Prague).</w:t>
      </w:r>
    </w:p>
    <w:p w14:paraId="00000092" w14:textId="77777777" w:rsidR="008D1538" w:rsidRDefault="00000000">
      <w:pPr>
        <w:spacing w:before="200" w:after="240"/>
        <w:ind w:left="7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Monasterium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Obernaltaichenses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praeside</w:t>
      </w:r>
      <w:proofErr w:type="spellEnd"/>
      <w:r>
        <w:rPr>
          <w:rFonts w:ascii="Times New Roman" w:eastAsia="Times New Roman" w:hAnsi="Times New Roman" w:cs="Times New Roman"/>
          <w:sz w:val="24"/>
          <w:szCs w:val="24"/>
        </w:rPr>
        <w:t xml:space="preserve"> Joanne Evangelista Schiferl. 1730. </w:t>
      </w:r>
      <w:r>
        <w:rPr>
          <w:rFonts w:ascii="Times New Roman" w:eastAsia="Times New Roman" w:hAnsi="Times New Roman" w:cs="Times New Roman"/>
          <w:i/>
          <w:sz w:val="24"/>
          <w:szCs w:val="24"/>
        </w:rPr>
        <w:t xml:space="preserve">Virtus in Medio! Seu </w:t>
      </w:r>
      <w:proofErr w:type="spellStart"/>
      <w:r>
        <w:rPr>
          <w:rFonts w:ascii="Times New Roman" w:eastAsia="Times New Roman" w:hAnsi="Times New Roman" w:cs="Times New Roman"/>
          <w:i/>
          <w:sz w:val="24"/>
          <w:szCs w:val="24"/>
        </w:rPr>
        <w:t>Distinctio</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Virtualis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intrinseca</w:t>
      </w:r>
      <w:proofErr w:type="spellEnd"/>
      <w:r>
        <w:rPr>
          <w:rFonts w:ascii="Times New Roman" w:eastAsia="Times New Roman" w:hAnsi="Times New Roman" w:cs="Times New Roman"/>
          <w:i/>
          <w:sz w:val="24"/>
          <w:szCs w:val="24"/>
        </w:rPr>
        <w:t xml:space="preserve">, medians inter Gradus </w:t>
      </w:r>
      <w:proofErr w:type="spellStart"/>
      <w:r>
        <w:rPr>
          <w:rFonts w:ascii="Times New Roman" w:eastAsia="Times New Roman" w:hAnsi="Times New Roman" w:cs="Times New Roman"/>
          <w:i/>
          <w:sz w:val="24"/>
          <w:szCs w:val="24"/>
        </w:rPr>
        <w:t>Metaphysicos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una</w:t>
      </w:r>
      <w:proofErr w:type="spellEnd"/>
      <w:r>
        <w:rPr>
          <w:rFonts w:ascii="Times New Roman" w:eastAsia="Times New Roman" w:hAnsi="Times New Roman" w:cs="Times New Roman"/>
          <w:i/>
          <w:sz w:val="24"/>
          <w:szCs w:val="24"/>
        </w:rPr>
        <w:t xml:space="preserve"> cum </w:t>
      </w:r>
      <w:proofErr w:type="spellStart"/>
      <w:r>
        <w:rPr>
          <w:rFonts w:ascii="Times New Roman" w:eastAsia="Times New Roman" w:hAnsi="Times New Roman" w:cs="Times New Roman"/>
          <w:i/>
          <w:sz w:val="24"/>
          <w:szCs w:val="24"/>
        </w:rPr>
        <w:t>Praecisionibus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obiectivis</w:t>
      </w:r>
      <w:proofErr w:type="spellEnd"/>
      <w:r>
        <w:rPr>
          <w:rFonts w:ascii="Times New Roman" w:eastAsia="Times New Roman" w:hAnsi="Times New Roman" w:cs="Times New Roman"/>
          <w:i/>
          <w:sz w:val="24"/>
          <w:szCs w:val="24"/>
        </w:rPr>
        <w:t xml:space="preserve"> Contra Principia </w:t>
      </w:r>
      <w:proofErr w:type="spellStart"/>
      <w:r>
        <w:rPr>
          <w:rFonts w:ascii="Times New Roman" w:eastAsia="Times New Roman" w:hAnsi="Times New Roman" w:cs="Times New Roman"/>
          <w:i/>
          <w:sz w:val="24"/>
          <w:szCs w:val="24"/>
        </w:rPr>
        <w:t>Recentioristica</w:t>
      </w:r>
      <w:proofErr w:type="spellEnd"/>
      <w:r>
        <w:rPr>
          <w:rFonts w:ascii="Times New Roman" w:eastAsia="Times New Roman" w:hAnsi="Times New Roman" w:cs="Times New Roman"/>
          <w:i/>
          <w:sz w:val="24"/>
          <w:szCs w:val="24"/>
        </w:rPr>
        <w:t xml:space="preserve">, et </w:t>
      </w:r>
      <w:proofErr w:type="spellStart"/>
      <w:r>
        <w:rPr>
          <w:rFonts w:ascii="Times New Roman" w:eastAsia="Times New Roman" w:hAnsi="Times New Roman" w:cs="Times New Roman"/>
          <w:i/>
          <w:sz w:val="24"/>
          <w:szCs w:val="24"/>
        </w:rPr>
        <w:t>Distinctionem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Schotisticam</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[sic]</w:t>
      </w:r>
      <w:r>
        <w:rPr>
          <w:rFonts w:ascii="Times New Roman" w:eastAsia="Times New Roman" w:hAnsi="Times New Roman" w:cs="Times New Roman"/>
          <w:i/>
          <w:sz w:val="24"/>
          <w:szCs w:val="24"/>
        </w:rPr>
        <w:t xml:space="preserve">, ex natura rei </w:t>
      </w:r>
      <w:proofErr w:type="spellStart"/>
      <w:r>
        <w:rPr>
          <w:rFonts w:ascii="Times New Roman" w:eastAsia="Times New Roman" w:hAnsi="Times New Roman" w:cs="Times New Roman"/>
          <w:i/>
          <w:sz w:val="24"/>
          <w:szCs w:val="24"/>
        </w:rPr>
        <w:t>formalem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Thomistice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defensa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Typis</w:t>
      </w:r>
      <w:proofErr w:type="spellEnd"/>
      <w:r>
        <w:rPr>
          <w:rFonts w:ascii="Times New Roman" w:eastAsia="Times New Roman" w:hAnsi="Times New Roman" w:cs="Times New Roman"/>
          <w:sz w:val="24"/>
          <w:szCs w:val="24"/>
        </w:rPr>
        <w:t xml:space="preserve"> Joannis </w:t>
      </w:r>
      <w:proofErr w:type="spellStart"/>
      <w:r>
        <w:rPr>
          <w:rFonts w:ascii="Times New Roman" w:eastAsia="Times New Roman" w:hAnsi="Times New Roman" w:cs="Times New Roman"/>
          <w:sz w:val="24"/>
          <w:szCs w:val="24"/>
        </w:rPr>
        <w:t>Theophili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Raedlmayr</w:t>
      </w:r>
      <w:proofErr w:type="spellEnd"/>
      <w:r>
        <w:rPr>
          <w:rFonts w:ascii="Times New Roman" w:eastAsia="Times New Roman" w:hAnsi="Times New Roman" w:cs="Times New Roman"/>
          <w:sz w:val="24"/>
          <w:szCs w:val="24"/>
        </w:rPr>
        <w:t>.</w:t>
      </w:r>
    </w:p>
    <w:p w14:paraId="00000093" w14:textId="77777777" w:rsidR="008D1538" w:rsidRDefault="00000000">
      <w:pPr>
        <w:spacing w:before="200"/>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Scotus, John Duns. 1894. </w:t>
      </w:r>
      <w:proofErr w:type="spellStart"/>
      <w:r>
        <w:rPr>
          <w:rFonts w:ascii="Times New Roman" w:eastAsia="Times New Roman" w:hAnsi="Times New Roman" w:cs="Times New Roman"/>
          <w:i/>
          <w:sz w:val="24"/>
          <w:szCs w:val="24"/>
        </w:rPr>
        <w:t>Reportata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Parisiensia</w:t>
      </w:r>
      <w:proofErr w:type="spellEnd"/>
      <w:r>
        <w:rPr>
          <w:rFonts w:ascii="Times New Roman" w:eastAsia="Times New Roman" w:hAnsi="Times New Roman" w:cs="Times New Roman"/>
          <w:sz w:val="24"/>
          <w:szCs w:val="24"/>
        </w:rPr>
        <w:t>, ed. Ludovicus Vives. Opera Omnia XXIII. (Paris).</w:t>
      </w:r>
    </w:p>
    <w:p w14:paraId="00000094" w14:textId="77777777" w:rsidR="008D1538" w:rsidRDefault="00000000">
      <w:pPr>
        <w:spacing w:before="200" w:after="240"/>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1950-2013. </w:t>
      </w:r>
      <w:r>
        <w:rPr>
          <w:rFonts w:ascii="Times New Roman" w:eastAsia="Times New Roman" w:hAnsi="Times New Roman" w:cs="Times New Roman"/>
          <w:i/>
          <w:sz w:val="24"/>
          <w:szCs w:val="24"/>
        </w:rPr>
        <w:t>Ordinatio I-IV</w:t>
      </w:r>
      <w:r>
        <w:rPr>
          <w:rFonts w:ascii="Times New Roman" w:eastAsia="Times New Roman" w:hAnsi="Times New Roman" w:cs="Times New Roman"/>
          <w:sz w:val="24"/>
          <w:szCs w:val="24"/>
        </w:rPr>
        <w:t>, edited by P.C. Balic and others. Opera omnia I-XIV. (Vatican City).</w:t>
      </w:r>
    </w:p>
    <w:p w14:paraId="00000095" w14:textId="77777777" w:rsidR="008D1538" w:rsidRDefault="00000000">
      <w:pPr>
        <w:spacing w:before="200" w:after="240"/>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2020. </w:t>
      </w:r>
      <w:r>
        <w:rPr>
          <w:rFonts w:ascii="Times New Roman" w:eastAsia="Times New Roman" w:hAnsi="Times New Roman" w:cs="Times New Roman"/>
          <w:i/>
          <w:sz w:val="24"/>
          <w:szCs w:val="24"/>
        </w:rPr>
        <w:t>Ordinatio I-IV</w:t>
      </w:r>
      <w:r>
        <w:rPr>
          <w:rFonts w:ascii="Times New Roman" w:eastAsia="Times New Roman" w:hAnsi="Times New Roman" w:cs="Times New Roman"/>
          <w:sz w:val="24"/>
          <w:szCs w:val="24"/>
        </w:rPr>
        <w:t>. Translated by Peter Simpson.</w:t>
      </w:r>
      <w:hyperlink r:id="rId7">
        <w:r>
          <w:rPr>
            <w:rFonts w:ascii="Times New Roman" w:eastAsia="Times New Roman" w:hAnsi="Times New Roman" w:cs="Times New Roman"/>
            <w:sz w:val="24"/>
            <w:szCs w:val="24"/>
          </w:rPr>
          <w:t xml:space="preserve"> </w:t>
        </w:r>
      </w:hyperlink>
      <w:hyperlink r:id="rId8">
        <w:r>
          <w:rPr>
            <w:rFonts w:ascii="Times New Roman" w:eastAsia="Times New Roman" w:hAnsi="Times New Roman" w:cs="Times New Roman"/>
            <w:color w:val="1155CC"/>
            <w:sz w:val="24"/>
            <w:szCs w:val="24"/>
            <w:u w:val="single"/>
          </w:rPr>
          <w:t>http://www.aristotelophile.com/current.htm</w:t>
        </w:r>
      </w:hyperlink>
    </w:p>
    <w:p w14:paraId="00000096" w14:textId="77777777" w:rsidR="008D1538" w:rsidRDefault="008D1538">
      <w:pPr>
        <w:spacing w:before="200"/>
        <w:rPr>
          <w:rFonts w:ascii="Times New Roman" w:eastAsia="Times New Roman" w:hAnsi="Times New Roman" w:cs="Times New Roman"/>
          <w:sz w:val="24"/>
          <w:szCs w:val="24"/>
        </w:rPr>
      </w:pPr>
    </w:p>
    <w:p w14:paraId="00000097" w14:textId="77777777" w:rsidR="008D1538" w:rsidRDefault="00000000">
      <w:pPr>
        <w:spacing w:before="200"/>
        <w:rPr>
          <w:rFonts w:ascii="Times New Roman" w:eastAsia="Times New Roman" w:hAnsi="Times New Roman" w:cs="Times New Roman"/>
          <w:i/>
          <w:sz w:val="24"/>
          <w:szCs w:val="24"/>
        </w:rPr>
      </w:pPr>
      <w:r>
        <w:rPr>
          <w:rFonts w:ascii="Times New Roman" w:eastAsia="Times New Roman" w:hAnsi="Times New Roman" w:cs="Times New Roman"/>
          <w:i/>
          <w:sz w:val="24"/>
          <w:szCs w:val="24"/>
        </w:rPr>
        <w:t>Secondary</w:t>
      </w:r>
    </w:p>
    <w:p w14:paraId="00000098" w14:textId="77777777" w:rsidR="008D1538" w:rsidRDefault="008D1538">
      <w:pPr>
        <w:spacing w:before="200" w:line="480" w:lineRule="auto"/>
        <w:rPr>
          <w:rFonts w:ascii="Times New Roman" w:eastAsia="Times New Roman" w:hAnsi="Times New Roman" w:cs="Times New Roman"/>
          <w:sz w:val="24"/>
          <w:szCs w:val="24"/>
        </w:rPr>
      </w:pPr>
    </w:p>
    <w:p w14:paraId="00000099" w14:textId="77777777" w:rsidR="008D1538" w:rsidRDefault="00000000">
      <w:pPr>
        <w:spacing w:before="200" w:after="240"/>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Adams, Marilyn McCord. 1976. “Ockham on Identity and Distinction” </w:t>
      </w:r>
      <w:r>
        <w:rPr>
          <w:rFonts w:ascii="Times New Roman" w:eastAsia="Times New Roman" w:hAnsi="Times New Roman" w:cs="Times New Roman"/>
          <w:i/>
          <w:sz w:val="24"/>
          <w:szCs w:val="24"/>
        </w:rPr>
        <w:t>Franciscan Studies</w:t>
      </w:r>
      <w:r>
        <w:rPr>
          <w:rFonts w:ascii="Times New Roman" w:eastAsia="Times New Roman" w:hAnsi="Times New Roman" w:cs="Times New Roman"/>
          <w:sz w:val="24"/>
          <w:szCs w:val="24"/>
        </w:rPr>
        <w:t xml:space="preserve"> 36, 5-74.</w:t>
      </w:r>
    </w:p>
    <w:p w14:paraId="0000009A" w14:textId="77777777" w:rsidR="008D1538" w:rsidRDefault="00000000">
      <w:pPr>
        <w:spacing w:before="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Bäck, Alan. 1996.  </w:t>
      </w:r>
      <w:r>
        <w:rPr>
          <w:rFonts w:ascii="Times New Roman" w:eastAsia="Times New Roman" w:hAnsi="Times New Roman" w:cs="Times New Roman"/>
          <w:i/>
          <w:sz w:val="24"/>
          <w:szCs w:val="24"/>
        </w:rPr>
        <w:t xml:space="preserve">On Reduplication: Logical Theories of Qualification </w:t>
      </w:r>
      <w:r>
        <w:rPr>
          <w:rFonts w:ascii="Times New Roman" w:eastAsia="Times New Roman" w:hAnsi="Times New Roman" w:cs="Times New Roman"/>
          <w:sz w:val="24"/>
          <w:szCs w:val="24"/>
        </w:rPr>
        <w:t>(Leiden).</w:t>
      </w:r>
    </w:p>
    <w:p w14:paraId="0000009B" w14:textId="77777777" w:rsidR="008D1538" w:rsidRDefault="00000000">
      <w:pPr>
        <w:spacing w:before="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Beall, </w:t>
      </w:r>
      <w:proofErr w:type="spellStart"/>
      <w:r>
        <w:rPr>
          <w:rFonts w:ascii="Times New Roman" w:eastAsia="Times New Roman" w:hAnsi="Times New Roman" w:cs="Times New Roman"/>
          <w:sz w:val="24"/>
          <w:szCs w:val="24"/>
        </w:rPr>
        <w:t>Jc</w:t>
      </w:r>
      <w:proofErr w:type="spellEnd"/>
      <w:r>
        <w:rPr>
          <w:rFonts w:ascii="Times New Roman" w:eastAsia="Times New Roman" w:hAnsi="Times New Roman" w:cs="Times New Roman"/>
          <w:sz w:val="24"/>
          <w:szCs w:val="24"/>
        </w:rPr>
        <w:t xml:space="preserve">. 2021. </w:t>
      </w:r>
      <w:r>
        <w:rPr>
          <w:rFonts w:ascii="Times New Roman" w:eastAsia="Times New Roman" w:hAnsi="Times New Roman" w:cs="Times New Roman"/>
          <w:i/>
          <w:sz w:val="24"/>
          <w:szCs w:val="24"/>
        </w:rPr>
        <w:t>The Contradictory Christ</w:t>
      </w:r>
      <w:r>
        <w:rPr>
          <w:rFonts w:ascii="Times New Roman" w:eastAsia="Times New Roman" w:hAnsi="Times New Roman" w:cs="Times New Roman"/>
          <w:sz w:val="24"/>
          <w:szCs w:val="24"/>
        </w:rPr>
        <w:t xml:space="preserve"> (Oxford)</w:t>
      </w:r>
    </w:p>
    <w:p w14:paraId="0000009C" w14:textId="77777777" w:rsidR="008D1538" w:rsidRDefault="00000000">
      <w:pPr>
        <w:spacing w:before="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2023. </w:t>
      </w:r>
      <w:r>
        <w:rPr>
          <w:rFonts w:ascii="Times New Roman" w:eastAsia="Times New Roman" w:hAnsi="Times New Roman" w:cs="Times New Roman"/>
          <w:i/>
          <w:sz w:val="24"/>
          <w:szCs w:val="24"/>
        </w:rPr>
        <w:t>Divine Contradiction</w:t>
      </w:r>
      <w:r>
        <w:rPr>
          <w:rFonts w:ascii="Times New Roman" w:eastAsia="Times New Roman" w:hAnsi="Times New Roman" w:cs="Times New Roman"/>
          <w:sz w:val="24"/>
          <w:szCs w:val="24"/>
        </w:rPr>
        <w:t xml:space="preserve"> (Oxford)</w:t>
      </w:r>
    </w:p>
    <w:p w14:paraId="0000009D" w14:textId="77777777" w:rsidR="008D1538" w:rsidRDefault="00000000">
      <w:pPr>
        <w:spacing w:before="200"/>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Blander, Josh. 2020. “Same as it never </w:t>
      </w:r>
      <w:proofErr w:type="gramStart"/>
      <w:r>
        <w:rPr>
          <w:rFonts w:ascii="Times New Roman" w:eastAsia="Times New Roman" w:hAnsi="Times New Roman" w:cs="Times New Roman"/>
          <w:sz w:val="24"/>
          <w:szCs w:val="24"/>
        </w:rPr>
        <w:t>was:</w:t>
      </w:r>
      <w:proofErr w:type="gramEnd"/>
      <w:r>
        <w:rPr>
          <w:rFonts w:ascii="Times New Roman" w:eastAsia="Times New Roman" w:hAnsi="Times New Roman" w:cs="Times New Roman"/>
          <w:sz w:val="24"/>
          <w:szCs w:val="24"/>
        </w:rPr>
        <w:t xml:space="preserve"> John Duns Scotus’ Paris </w:t>
      </w:r>
      <w:proofErr w:type="spellStart"/>
      <w:r>
        <w:rPr>
          <w:rFonts w:ascii="Times New Roman" w:eastAsia="Times New Roman" w:hAnsi="Times New Roman" w:cs="Times New Roman"/>
          <w:sz w:val="24"/>
          <w:szCs w:val="24"/>
        </w:rPr>
        <w:t>Reportatio</w:t>
      </w:r>
      <w:proofErr w:type="spellEnd"/>
      <w:r>
        <w:rPr>
          <w:rFonts w:ascii="Times New Roman" w:eastAsia="Times New Roman" w:hAnsi="Times New Roman" w:cs="Times New Roman"/>
          <w:sz w:val="24"/>
          <w:szCs w:val="24"/>
        </w:rPr>
        <w:t xml:space="preserve"> account of identity and distinction.” </w:t>
      </w:r>
      <w:r>
        <w:rPr>
          <w:rFonts w:ascii="Times New Roman" w:eastAsia="Times New Roman" w:hAnsi="Times New Roman" w:cs="Times New Roman"/>
          <w:i/>
          <w:sz w:val="24"/>
          <w:szCs w:val="24"/>
        </w:rPr>
        <w:t>British Journal for the History of Philosophy</w:t>
      </w:r>
      <w:r>
        <w:rPr>
          <w:rFonts w:ascii="Times New Roman" w:eastAsia="Times New Roman" w:hAnsi="Times New Roman" w:cs="Times New Roman"/>
          <w:sz w:val="24"/>
          <w:szCs w:val="24"/>
        </w:rPr>
        <w:t>, 28:2, 231-250.</w:t>
      </w:r>
    </w:p>
    <w:p w14:paraId="0000009E" w14:textId="77777777" w:rsidR="008D1538" w:rsidRDefault="00000000">
      <w:pPr>
        <w:spacing w:before="200"/>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Cross, Richard. 1998. </w:t>
      </w:r>
      <w:r>
        <w:rPr>
          <w:rFonts w:ascii="Times New Roman" w:eastAsia="Times New Roman" w:hAnsi="Times New Roman" w:cs="Times New Roman"/>
          <w:i/>
          <w:sz w:val="24"/>
          <w:szCs w:val="24"/>
        </w:rPr>
        <w:t>The Physics of Duns Scotus: The Scientific Context of a Theological Vision</w:t>
      </w:r>
      <w:r>
        <w:rPr>
          <w:rFonts w:ascii="Times New Roman" w:eastAsia="Times New Roman" w:hAnsi="Times New Roman" w:cs="Times New Roman"/>
          <w:sz w:val="24"/>
          <w:szCs w:val="24"/>
        </w:rPr>
        <w:t xml:space="preserve"> (Oxford).</w:t>
      </w:r>
    </w:p>
    <w:p w14:paraId="0000009F" w14:textId="77777777" w:rsidR="008D1538" w:rsidRDefault="00000000">
      <w:pPr>
        <w:spacing w:before="200"/>
        <w:ind w:left="720" w:hanging="720"/>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 2002. </w:t>
      </w:r>
      <w:r>
        <w:rPr>
          <w:rFonts w:ascii="Times New Roman" w:eastAsia="Times New Roman" w:hAnsi="Times New Roman" w:cs="Times New Roman"/>
          <w:i/>
          <w:sz w:val="24"/>
          <w:szCs w:val="24"/>
        </w:rPr>
        <w:t>The Metaphysics of the Incarnation: Thomas Aquinas to Duns Scotus</w:t>
      </w:r>
      <w:r>
        <w:rPr>
          <w:rFonts w:ascii="Times New Roman" w:eastAsia="Times New Roman" w:hAnsi="Times New Roman" w:cs="Times New Roman"/>
          <w:sz w:val="24"/>
          <w:szCs w:val="24"/>
        </w:rPr>
        <w:t xml:space="preserve"> (Oxford).</w:t>
      </w:r>
    </w:p>
    <w:p w14:paraId="000000A0" w14:textId="77777777" w:rsidR="008D1538" w:rsidRDefault="00000000">
      <w:pPr>
        <w:spacing w:before="20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Dorr, Cian. 2016. “To Be F is to Be G.” </w:t>
      </w:r>
      <w:r>
        <w:rPr>
          <w:rFonts w:ascii="Times New Roman" w:eastAsia="Times New Roman" w:hAnsi="Times New Roman" w:cs="Times New Roman"/>
          <w:i/>
          <w:sz w:val="24"/>
          <w:szCs w:val="24"/>
        </w:rPr>
        <w:t xml:space="preserve">Philosophical Perspectives </w:t>
      </w:r>
      <w:r>
        <w:rPr>
          <w:rFonts w:ascii="Times New Roman" w:eastAsia="Times New Roman" w:hAnsi="Times New Roman" w:cs="Times New Roman"/>
          <w:sz w:val="24"/>
          <w:szCs w:val="24"/>
        </w:rPr>
        <w:t>30:1, 39-134.</w:t>
      </w:r>
    </w:p>
    <w:p w14:paraId="000000A1" w14:textId="77777777" w:rsidR="008D1538" w:rsidRDefault="00000000">
      <w:pPr>
        <w:spacing w:before="20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Feser, Edward. 2014. </w:t>
      </w:r>
      <w:r>
        <w:rPr>
          <w:rFonts w:ascii="Times New Roman" w:eastAsia="Times New Roman" w:hAnsi="Times New Roman" w:cs="Times New Roman"/>
          <w:i/>
          <w:sz w:val="24"/>
          <w:szCs w:val="24"/>
        </w:rPr>
        <w:t>Scholastic Metaphysics: A Contemporary Introduction</w:t>
      </w:r>
      <w:r>
        <w:rPr>
          <w:rFonts w:ascii="Times New Roman" w:eastAsia="Times New Roman" w:hAnsi="Times New Roman" w:cs="Times New Roman"/>
          <w:sz w:val="24"/>
          <w:szCs w:val="24"/>
        </w:rPr>
        <w:t xml:space="preserve"> (Lancaster).</w:t>
      </w:r>
    </w:p>
    <w:p w14:paraId="000000A2" w14:textId="77777777" w:rsidR="008D1538" w:rsidRDefault="00000000">
      <w:pPr>
        <w:spacing w:before="20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Field, Hartry. 2008. </w:t>
      </w:r>
      <w:r>
        <w:rPr>
          <w:rFonts w:ascii="Times New Roman" w:eastAsia="Times New Roman" w:hAnsi="Times New Roman" w:cs="Times New Roman"/>
          <w:i/>
          <w:sz w:val="24"/>
          <w:szCs w:val="24"/>
        </w:rPr>
        <w:t>Saving Truth from Paradox</w:t>
      </w:r>
      <w:r>
        <w:rPr>
          <w:rFonts w:ascii="Times New Roman" w:eastAsia="Times New Roman" w:hAnsi="Times New Roman" w:cs="Times New Roman"/>
          <w:sz w:val="24"/>
          <w:szCs w:val="24"/>
        </w:rPr>
        <w:t xml:space="preserve"> (Oxford).</w:t>
      </w:r>
    </w:p>
    <w:p w14:paraId="000000A3" w14:textId="77777777" w:rsidR="008D1538" w:rsidRDefault="00000000">
      <w:pPr>
        <w:spacing w:before="200"/>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Grajewski, Maurice J. 1944. </w:t>
      </w:r>
      <w:r>
        <w:rPr>
          <w:rFonts w:ascii="Times New Roman" w:eastAsia="Times New Roman" w:hAnsi="Times New Roman" w:cs="Times New Roman"/>
          <w:i/>
          <w:sz w:val="24"/>
          <w:szCs w:val="24"/>
        </w:rPr>
        <w:t>The Formal Distinction of Duns Scotus: A Study in Metaphysics</w:t>
      </w:r>
      <w:r>
        <w:rPr>
          <w:rFonts w:ascii="Times New Roman" w:eastAsia="Times New Roman" w:hAnsi="Times New Roman" w:cs="Times New Roman"/>
          <w:sz w:val="24"/>
          <w:szCs w:val="24"/>
        </w:rPr>
        <w:t xml:space="preserve"> (Washington, D.C.).</w:t>
      </w:r>
    </w:p>
    <w:p w14:paraId="000000A4" w14:textId="77777777" w:rsidR="008D1538" w:rsidRDefault="00000000">
      <w:pPr>
        <w:spacing w:before="20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King, Peter. 2003. “Duns Scotus on Metaphysics” in </w:t>
      </w:r>
      <w:r>
        <w:rPr>
          <w:rFonts w:ascii="Times New Roman" w:eastAsia="Times New Roman" w:hAnsi="Times New Roman" w:cs="Times New Roman"/>
          <w:i/>
          <w:sz w:val="24"/>
          <w:szCs w:val="24"/>
        </w:rPr>
        <w:t>The Cambridge Companion to Duns Scotus</w:t>
      </w:r>
      <w:r>
        <w:rPr>
          <w:rFonts w:ascii="Times New Roman" w:eastAsia="Times New Roman" w:hAnsi="Times New Roman" w:cs="Times New Roman"/>
          <w:sz w:val="24"/>
          <w:szCs w:val="24"/>
        </w:rPr>
        <w:t>, ed. By Thomas Williams (Cambridge).</w:t>
      </w:r>
    </w:p>
    <w:p w14:paraId="000000A5" w14:textId="77777777" w:rsidR="008D1538" w:rsidRDefault="00000000">
      <w:pPr>
        <w:spacing w:before="200"/>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Nielsen, Lauge Olaf. 1982.  </w:t>
      </w:r>
      <w:r>
        <w:rPr>
          <w:rFonts w:ascii="Times New Roman" w:eastAsia="Times New Roman" w:hAnsi="Times New Roman" w:cs="Times New Roman"/>
          <w:i/>
          <w:sz w:val="24"/>
          <w:szCs w:val="24"/>
        </w:rPr>
        <w:t xml:space="preserve">Theology and Philosophy in the Twelfth Century: A Study of Gilbert </w:t>
      </w:r>
      <w:proofErr w:type="spellStart"/>
      <w:r>
        <w:rPr>
          <w:rFonts w:ascii="Times New Roman" w:eastAsia="Times New Roman" w:hAnsi="Times New Roman" w:cs="Times New Roman"/>
          <w:i/>
          <w:sz w:val="24"/>
          <w:szCs w:val="24"/>
        </w:rPr>
        <w:t>Porreta’s</w:t>
      </w:r>
      <w:proofErr w:type="spellEnd"/>
      <w:r>
        <w:rPr>
          <w:rFonts w:ascii="Times New Roman" w:eastAsia="Times New Roman" w:hAnsi="Times New Roman" w:cs="Times New Roman"/>
          <w:i/>
          <w:sz w:val="24"/>
          <w:szCs w:val="24"/>
        </w:rPr>
        <w:t xml:space="preserve"> Thinking and the Theological Expositions of the </w:t>
      </w:r>
      <w:proofErr w:type="spellStart"/>
      <w:r>
        <w:rPr>
          <w:rFonts w:ascii="Times New Roman" w:eastAsia="Times New Roman" w:hAnsi="Times New Roman" w:cs="Times New Roman"/>
          <w:i/>
          <w:sz w:val="24"/>
          <w:szCs w:val="24"/>
        </w:rPr>
        <w:t>Doctirne</w:t>
      </w:r>
      <w:proofErr w:type="spellEnd"/>
      <w:r>
        <w:rPr>
          <w:rFonts w:ascii="Times New Roman" w:eastAsia="Times New Roman" w:hAnsi="Times New Roman" w:cs="Times New Roman"/>
          <w:i/>
          <w:sz w:val="24"/>
          <w:szCs w:val="24"/>
        </w:rPr>
        <w:t xml:space="preserve"> of the Incarnation during the Period 1130-1180</w:t>
      </w:r>
      <w:r>
        <w:rPr>
          <w:rFonts w:ascii="Times New Roman" w:eastAsia="Times New Roman" w:hAnsi="Times New Roman" w:cs="Times New Roman"/>
          <w:sz w:val="24"/>
          <w:szCs w:val="24"/>
        </w:rPr>
        <w:t>. (Brill).</w:t>
      </w:r>
    </w:p>
    <w:p w14:paraId="000000A6" w14:textId="77777777" w:rsidR="008D1538" w:rsidRDefault="00000000">
      <w:pPr>
        <w:spacing w:before="200"/>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Novák, Lukáš. 2022. “Qui Melius </w:t>
      </w:r>
      <w:proofErr w:type="spellStart"/>
      <w:r>
        <w:rPr>
          <w:rFonts w:ascii="Times New Roman" w:eastAsia="Times New Roman" w:hAnsi="Times New Roman" w:cs="Times New Roman"/>
          <w:sz w:val="24"/>
          <w:szCs w:val="24"/>
        </w:rPr>
        <w:t>Scit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Exponere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Exponat</w:t>
      </w:r>
      <w:proofErr w:type="spellEnd"/>
      <w:r>
        <w:rPr>
          <w:rFonts w:ascii="Times New Roman" w:eastAsia="Times New Roman" w:hAnsi="Times New Roman" w:cs="Times New Roman"/>
          <w:sz w:val="24"/>
          <w:szCs w:val="24"/>
        </w:rPr>
        <w:t xml:space="preserve">!” Studia </w:t>
      </w:r>
      <w:proofErr w:type="spellStart"/>
      <w:r>
        <w:rPr>
          <w:rFonts w:ascii="Times New Roman" w:eastAsia="Times New Roman" w:hAnsi="Times New Roman" w:cs="Times New Roman"/>
          <w:sz w:val="24"/>
          <w:szCs w:val="24"/>
        </w:rPr>
        <w:t>Neoaristotelica</w:t>
      </w:r>
      <w:proofErr w:type="spellEnd"/>
      <w:r>
        <w:rPr>
          <w:rFonts w:ascii="Times New Roman" w:eastAsia="Times New Roman" w:hAnsi="Times New Roman" w:cs="Times New Roman"/>
          <w:sz w:val="24"/>
          <w:szCs w:val="24"/>
        </w:rPr>
        <w:t xml:space="preserve"> 19:2, 139-176.</w:t>
      </w:r>
    </w:p>
    <w:p w14:paraId="000000A7" w14:textId="77777777" w:rsidR="008D1538" w:rsidRDefault="00000000">
      <w:pPr>
        <w:spacing w:before="20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2023. “Making Room for the Virtual Distinction: Bartholomew Mastri between Scylla and Charybdis.” in </w:t>
      </w:r>
      <w:r>
        <w:rPr>
          <w:rFonts w:ascii="Times New Roman" w:eastAsia="Times New Roman" w:hAnsi="Times New Roman" w:cs="Times New Roman"/>
          <w:i/>
          <w:sz w:val="24"/>
          <w:szCs w:val="24"/>
        </w:rPr>
        <w:t xml:space="preserve">Cognitive Issues in the Long </w:t>
      </w:r>
      <w:proofErr w:type="spellStart"/>
      <w:r>
        <w:rPr>
          <w:rFonts w:ascii="Times New Roman" w:eastAsia="Times New Roman" w:hAnsi="Times New Roman" w:cs="Times New Roman"/>
          <w:i/>
          <w:sz w:val="24"/>
          <w:szCs w:val="24"/>
        </w:rPr>
        <w:t>Scotist</w:t>
      </w:r>
      <w:proofErr w:type="spellEnd"/>
      <w:r>
        <w:rPr>
          <w:rFonts w:ascii="Times New Roman" w:eastAsia="Times New Roman" w:hAnsi="Times New Roman" w:cs="Times New Roman"/>
          <w:i/>
          <w:sz w:val="24"/>
          <w:szCs w:val="24"/>
        </w:rPr>
        <w:t xml:space="preserve"> Tradition</w:t>
      </w:r>
      <w:r>
        <w:rPr>
          <w:rFonts w:ascii="Times New Roman" w:eastAsia="Times New Roman" w:hAnsi="Times New Roman" w:cs="Times New Roman"/>
          <w:sz w:val="24"/>
          <w:szCs w:val="24"/>
        </w:rPr>
        <w:t>, eds. By Daniel Heider and Claus A. Anderson.</w:t>
      </w:r>
    </w:p>
    <w:p w14:paraId="000000A8" w14:textId="77777777" w:rsidR="008D1538" w:rsidRDefault="00000000">
      <w:pPr>
        <w:spacing w:before="200"/>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Pawl, Timothy. 2016. </w:t>
      </w:r>
      <w:r>
        <w:rPr>
          <w:rFonts w:ascii="Times New Roman" w:eastAsia="Times New Roman" w:hAnsi="Times New Roman" w:cs="Times New Roman"/>
          <w:i/>
          <w:sz w:val="24"/>
          <w:szCs w:val="24"/>
        </w:rPr>
        <w:t>In Defense of Conciliar Christology: A Philosophical Essay</w:t>
      </w:r>
      <w:r>
        <w:rPr>
          <w:rFonts w:ascii="Times New Roman" w:eastAsia="Times New Roman" w:hAnsi="Times New Roman" w:cs="Times New Roman"/>
          <w:sz w:val="24"/>
          <w:szCs w:val="24"/>
        </w:rPr>
        <w:t xml:space="preserve"> (Oxford).</w:t>
      </w:r>
    </w:p>
    <w:p w14:paraId="000000A9" w14:textId="77777777" w:rsidR="008D1538" w:rsidRDefault="00000000">
      <w:pPr>
        <w:spacing w:before="20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Priest, Graham. 2006. </w:t>
      </w:r>
      <w:r>
        <w:rPr>
          <w:rFonts w:ascii="Times New Roman" w:eastAsia="Times New Roman" w:hAnsi="Times New Roman" w:cs="Times New Roman"/>
          <w:i/>
          <w:sz w:val="24"/>
          <w:szCs w:val="24"/>
        </w:rPr>
        <w:t>In Contradiction</w:t>
      </w:r>
      <w:r>
        <w:rPr>
          <w:rFonts w:ascii="Times New Roman" w:eastAsia="Times New Roman" w:hAnsi="Times New Roman" w:cs="Times New Roman"/>
          <w:sz w:val="24"/>
          <w:szCs w:val="24"/>
        </w:rPr>
        <w:t xml:space="preserve"> (Oxford).</w:t>
      </w:r>
    </w:p>
    <w:p w14:paraId="000000AA" w14:textId="77777777" w:rsidR="008D1538" w:rsidRDefault="00000000">
      <w:pPr>
        <w:spacing w:before="200" w:after="240"/>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Stanbury, Michele. 2019. “The Metaphysical Origin of the Principles of Logical Thought in Plotinus' Emanative System.” </w:t>
      </w:r>
      <w:r>
        <w:rPr>
          <w:rFonts w:ascii="Times New Roman" w:eastAsia="Times New Roman" w:hAnsi="Times New Roman" w:cs="Times New Roman"/>
          <w:i/>
          <w:sz w:val="24"/>
          <w:szCs w:val="24"/>
        </w:rPr>
        <w:t xml:space="preserve">Dionysius </w:t>
      </w:r>
      <w:r>
        <w:rPr>
          <w:rFonts w:ascii="Times New Roman" w:eastAsia="Times New Roman" w:hAnsi="Times New Roman" w:cs="Times New Roman"/>
          <w:sz w:val="24"/>
          <w:szCs w:val="24"/>
        </w:rPr>
        <w:t>37, p. 60-86.</w:t>
      </w:r>
    </w:p>
    <w:p w14:paraId="000000AB" w14:textId="77777777" w:rsidR="008D1538" w:rsidRDefault="00000000">
      <w:pPr>
        <w:spacing w:before="200" w:after="240"/>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Steele, Jeff and Thomas Williams. 2019. “Complexity without Composition: Duns Scotus on Divine Simplicity.”  American Catholic Philosophical Quarterly 94:4, 611-631.</w:t>
      </w:r>
    </w:p>
    <w:p w14:paraId="000000AC" w14:textId="77777777" w:rsidR="008D1538" w:rsidRDefault="00000000">
      <w:pPr>
        <w:spacing w:before="200" w:after="240"/>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Suarez, Francisco. 1982. </w:t>
      </w:r>
      <w:r>
        <w:rPr>
          <w:rFonts w:ascii="Times New Roman" w:eastAsia="Times New Roman" w:hAnsi="Times New Roman" w:cs="Times New Roman"/>
          <w:i/>
          <w:sz w:val="24"/>
          <w:szCs w:val="24"/>
        </w:rPr>
        <w:t xml:space="preserve">On Individuation: Metaphysical Disputation V Individual Unity and Its </w:t>
      </w:r>
      <w:proofErr w:type="gramStart"/>
      <w:r>
        <w:rPr>
          <w:rFonts w:ascii="Times New Roman" w:eastAsia="Times New Roman" w:hAnsi="Times New Roman" w:cs="Times New Roman"/>
          <w:i/>
          <w:sz w:val="24"/>
          <w:szCs w:val="24"/>
        </w:rPr>
        <w:t>Principle</w:t>
      </w:r>
      <w:proofErr w:type="gramEnd"/>
      <w:r>
        <w:rPr>
          <w:rFonts w:ascii="Times New Roman" w:eastAsia="Times New Roman" w:hAnsi="Times New Roman" w:cs="Times New Roman"/>
          <w:sz w:val="24"/>
          <w:szCs w:val="24"/>
        </w:rPr>
        <w:t xml:space="preserve"> trans. Jorge Garcia (Milwaukee).</w:t>
      </w:r>
    </w:p>
    <w:p w14:paraId="000000AD" w14:textId="77777777" w:rsidR="008D1538" w:rsidRDefault="00000000">
      <w:pPr>
        <w:spacing w:before="200" w:line="240" w:lineRule="auto"/>
        <w:ind w:left="720" w:hanging="720"/>
        <w:rPr>
          <w:rFonts w:ascii="Times New Roman" w:eastAsia="Times New Roman" w:hAnsi="Times New Roman" w:cs="Times New Roman"/>
          <w:sz w:val="20"/>
          <w:szCs w:val="20"/>
        </w:rPr>
      </w:pPr>
      <w:r>
        <w:rPr>
          <w:rFonts w:ascii="Times New Roman" w:eastAsia="Times New Roman" w:hAnsi="Times New Roman" w:cs="Times New Roman"/>
          <w:sz w:val="24"/>
          <w:szCs w:val="24"/>
        </w:rPr>
        <w:t>Tomaszewski, Christopher. 2023. “How the Absolutely Simple Creator Escapes Modal Collapse” in Classical Theism: New Essays on the Metaphysics of God ed. Jonathan Fuqua and Robert Koons (New York).</w:t>
      </w:r>
    </w:p>
    <w:p w14:paraId="000000AE" w14:textId="77777777" w:rsidR="008D1538" w:rsidRDefault="00000000">
      <w:pPr>
        <w:spacing w:before="200" w:after="240"/>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Tweedale, Martin. 1999. </w:t>
      </w:r>
      <w:r>
        <w:rPr>
          <w:rFonts w:ascii="Times New Roman" w:eastAsia="Times New Roman" w:hAnsi="Times New Roman" w:cs="Times New Roman"/>
          <w:i/>
          <w:sz w:val="24"/>
          <w:szCs w:val="24"/>
        </w:rPr>
        <w:t>Scotus vs. Ockham: A Medieval Dispute Over Universals</w:t>
      </w:r>
      <w:r>
        <w:rPr>
          <w:rFonts w:ascii="Times New Roman" w:eastAsia="Times New Roman" w:hAnsi="Times New Roman" w:cs="Times New Roman"/>
          <w:sz w:val="24"/>
          <w:szCs w:val="24"/>
        </w:rPr>
        <w:t xml:space="preserve"> (Lewiston).</w:t>
      </w:r>
    </w:p>
    <w:p w14:paraId="000000AF" w14:textId="77777777" w:rsidR="008D1538" w:rsidRDefault="00000000">
      <w:pPr>
        <w:spacing w:before="200" w:after="240"/>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Ursic, Marko. 1998. “</w:t>
      </w:r>
      <w:proofErr w:type="spellStart"/>
      <w:r>
        <w:rPr>
          <w:rFonts w:ascii="Times New Roman" w:eastAsia="Times New Roman" w:hAnsi="Times New Roman" w:cs="Times New Roman"/>
          <w:sz w:val="24"/>
          <w:szCs w:val="24"/>
        </w:rPr>
        <w:t>Paraconsistency</w:t>
      </w:r>
      <w:proofErr w:type="spellEnd"/>
      <w:r>
        <w:rPr>
          <w:rFonts w:ascii="Times New Roman" w:eastAsia="Times New Roman" w:hAnsi="Times New Roman" w:cs="Times New Roman"/>
          <w:sz w:val="24"/>
          <w:szCs w:val="24"/>
        </w:rPr>
        <w:t xml:space="preserve"> and Dialectics as </w:t>
      </w:r>
      <w:proofErr w:type="spellStart"/>
      <w:r>
        <w:rPr>
          <w:rFonts w:ascii="Times New Roman" w:eastAsia="Times New Roman" w:hAnsi="Times New Roman" w:cs="Times New Roman"/>
          <w:i/>
          <w:sz w:val="24"/>
          <w:szCs w:val="24"/>
        </w:rPr>
        <w:t>Coincidentia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Oppositorum</w:t>
      </w:r>
      <w:proofErr w:type="spellEnd"/>
      <w:r>
        <w:rPr>
          <w:rFonts w:ascii="Times New Roman" w:eastAsia="Times New Roman" w:hAnsi="Times New Roman" w:cs="Times New Roman"/>
          <w:sz w:val="24"/>
          <w:szCs w:val="24"/>
        </w:rPr>
        <w:t xml:space="preserve"> in the Philosophy of Nicholas of Cusa.” </w:t>
      </w:r>
      <w:proofErr w:type="spellStart"/>
      <w:r>
        <w:rPr>
          <w:rFonts w:ascii="Times New Roman" w:eastAsia="Times New Roman" w:hAnsi="Times New Roman" w:cs="Times New Roman"/>
          <w:i/>
          <w:sz w:val="24"/>
          <w:szCs w:val="24"/>
        </w:rPr>
        <w:t>Logique</w:t>
      </w:r>
      <w:proofErr w:type="spellEnd"/>
      <w:r>
        <w:rPr>
          <w:rFonts w:ascii="Times New Roman" w:eastAsia="Times New Roman" w:hAnsi="Times New Roman" w:cs="Times New Roman"/>
          <w:i/>
          <w:sz w:val="24"/>
          <w:szCs w:val="24"/>
        </w:rPr>
        <w:t xml:space="preserve"> &amp; </w:t>
      </w:r>
      <w:proofErr w:type="spellStart"/>
      <w:r>
        <w:rPr>
          <w:rFonts w:ascii="Times New Roman" w:eastAsia="Times New Roman" w:hAnsi="Times New Roman" w:cs="Times New Roman"/>
          <w:i/>
          <w:sz w:val="24"/>
          <w:szCs w:val="24"/>
        </w:rPr>
        <w:t>Analyse</w:t>
      </w:r>
      <w:proofErr w:type="spellEnd"/>
      <w:r>
        <w:rPr>
          <w:rFonts w:ascii="Times New Roman" w:eastAsia="Times New Roman" w:hAnsi="Times New Roman" w:cs="Times New Roman"/>
          <w:sz w:val="24"/>
          <w:szCs w:val="24"/>
        </w:rPr>
        <w:t xml:space="preserve"> 161-162-163, p. 203-217.</w:t>
      </w:r>
    </w:p>
    <w:p w14:paraId="000000B0" w14:textId="77777777" w:rsidR="008D1538" w:rsidRDefault="008D1538">
      <w:pPr>
        <w:spacing w:before="200" w:after="240"/>
        <w:ind w:left="720" w:hanging="720"/>
      </w:pPr>
    </w:p>
    <w:sectPr w:rsidR="008D1538">
      <w:headerReference w:type="default" r:id="rId9"/>
      <w:headerReference w:type="first" r:id="rId1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022E4A" w14:textId="77777777" w:rsidR="00D037D7" w:rsidRDefault="00D037D7">
      <w:pPr>
        <w:spacing w:line="240" w:lineRule="auto"/>
      </w:pPr>
      <w:r>
        <w:separator/>
      </w:r>
    </w:p>
  </w:endnote>
  <w:endnote w:type="continuationSeparator" w:id="0">
    <w:p w14:paraId="30EE3504" w14:textId="77777777" w:rsidR="00D037D7" w:rsidRDefault="00D037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B0061C31-6D76-4B7D-97DC-19FB172714FE}"/>
  </w:font>
  <w:font w:name="Cardo">
    <w:charset w:val="00"/>
    <w:family w:val="auto"/>
    <w:pitch w:val="default"/>
    <w:embedRegular r:id="rId2" w:fontKey="{94290CBD-DAF7-4DDD-8306-EBBF7BB370E6}"/>
  </w:font>
  <w:font w:name="Calibri">
    <w:panose1 w:val="020F0502020204030204"/>
    <w:charset w:val="00"/>
    <w:family w:val="swiss"/>
    <w:pitch w:val="variable"/>
    <w:sig w:usb0="E4002EFF" w:usb1="C200247B" w:usb2="00000009" w:usb3="00000000" w:csb0="000001FF" w:csb1="00000000"/>
    <w:embedRegular r:id="rId3" w:fontKey="{A0C79CDC-E829-4184-A43E-1C61464057D9}"/>
  </w:font>
  <w:font w:name="Cambria">
    <w:panose1 w:val="02040503050406030204"/>
    <w:charset w:val="00"/>
    <w:family w:val="roman"/>
    <w:pitch w:val="variable"/>
    <w:sig w:usb0="E00006FF" w:usb1="420024FF" w:usb2="02000000" w:usb3="00000000" w:csb0="0000019F" w:csb1="00000000"/>
    <w:embedRegular r:id="rId4" w:fontKey="{354C09B6-EFEC-4D32-9348-80FFEDA1D07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13D190" w14:textId="77777777" w:rsidR="00D037D7" w:rsidRDefault="00D037D7">
      <w:pPr>
        <w:spacing w:line="240" w:lineRule="auto"/>
      </w:pPr>
      <w:r>
        <w:separator/>
      </w:r>
    </w:p>
  </w:footnote>
  <w:footnote w:type="continuationSeparator" w:id="0">
    <w:p w14:paraId="2895B5ED" w14:textId="77777777" w:rsidR="00D037D7" w:rsidRDefault="00D037D7">
      <w:pPr>
        <w:spacing w:line="240" w:lineRule="auto"/>
      </w:pPr>
      <w:r>
        <w:continuationSeparator/>
      </w:r>
    </w:p>
  </w:footnote>
  <w:footnote w:id="1">
    <w:p w14:paraId="00000105"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Scotus </w:t>
      </w:r>
      <w:r>
        <w:rPr>
          <w:rFonts w:ascii="Times New Roman" w:eastAsia="Times New Roman" w:hAnsi="Times New Roman" w:cs="Times New Roman"/>
          <w:i/>
          <w:sz w:val="20"/>
          <w:szCs w:val="20"/>
        </w:rPr>
        <w:t>Ord.</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 d</w:t>
      </w:r>
      <w:proofErr w:type="spellEnd"/>
      <w:r>
        <w:rPr>
          <w:rFonts w:ascii="Times New Roman" w:eastAsia="Times New Roman" w:hAnsi="Times New Roman" w:cs="Times New Roman"/>
          <w:sz w:val="20"/>
          <w:szCs w:val="20"/>
        </w:rPr>
        <w:t>. 2 q. 1 n. 418 (Vat. II, 365)</w:t>
      </w:r>
    </w:p>
  </w:footnote>
  <w:footnote w:id="2">
    <w:p w14:paraId="00000106"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Scotus Rep. II d. 16 q. 1 n. 18-19 (Vives 23, p. 75)</w:t>
      </w:r>
    </w:p>
  </w:footnote>
  <w:footnote w:id="3">
    <w:p w14:paraId="00000107"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Scotus Ord. II, d. 3, p. 1, q. 6, n. 188 (Vat. VII, 483-484).</w:t>
      </w:r>
    </w:p>
  </w:footnote>
  <w:footnote w:id="4">
    <w:p w14:paraId="00000108"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Scotus Ord. I, d. 8, p. 1, q. 4 n. 192 (Vat. VI, 192)</w:t>
      </w:r>
    </w:p>
  </w:footnote>
  <w:footnote w:id="5">
    <w:p w14:paraId="000000D5"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Mezger, </w:t>
      </w:r>
      <w:proofErr w:type="spellStart"/>
      <w:r>
        <w:rPr>
          <w:rFonts w:ascii="Times New Roman" w:eastAsia="Times New Roman" w:hAnsi="Times New Roman" w:cs="Times New Roman"/>
          <w:i/>
          <w:sz w:val="20"/>
          <w:szCs w:val="20"/>
        </w:rPr>
        <w:t>Theologia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Salsburgensis</w:t>
      </w:r>
      <w:proofErr w:type="spellEnd"/>
      <w:r>
        <w:rPr>
          <w:rFonts w:ascii="Times New Roman" w:eastAsia="Times New Roman" w:hAnsi="Times New Roman" w:cs="Times New Roman"/>
          <w:sz w:val="20"/>
          <w:szCs w:val="20"/>
        </w:rPr>
        <w:t xml:space="preserve"> t. 1 d. 4 a. 1 s. </w:t>
      </w:r>
      <w:proofErr w:type="gramStart"/>
      <w:r>
        <w:rPr>
          <w:rFonts w:ascii="Times New Roman" w:eastAsia="Times New Roman" w:hAnsi="Times New Roman" w:cs="Times New Roman"/>
          <w:sz w:val="20"/>
          <w:szCs w:val="20"/>
        </w:rPr>
        <w:t>4  n.</w:t>
      </w:r>
      <w:proofErr w:type="gramEnd"/>
      <w:r>
        <w:rPr>
          <w:rFonts w:ascii="Times New Roman" w:eastAsia="Times New Roman" w:hAnsi="Times New Roman" w:cs="Times New Roman"/>
          <w:sz w:val="20"/>
          <w:szCs w:val="20"/>
        </w:rPr>
        <w:t xml:space="preserve"> 29 p. 39. ‘Achilles argument’ was a general term to describe the most powerful argument for some position; it did not connote a weakness like ‘Achilles’ heel’.</w:t>
      </w:r>
    </w:p>
  </w:footnote>
  <w:footnote w:id="6">
    <w:p w14:paraId="000000D6"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Arriaga, </w:t>
      </w:r>
      <w:r>
        <w:rPr>
          <w:rFonts w:ascii="Times New Roman" w:eastAsia="Times New Roman" w:hAnsi="Times New Roman" w:cs="Times New Roman"/>
          <w:i/>
          <w:sz w:val="20"/>
          <w:szCs w:val="20"/>
        </w:rPr>
        <w:t xml:space="preserve">Cursus </w:t>
      </w:r>
      <w:proofErr w:type="spellStart"/>
      <w:r>
        <w:rPr>
          <w:rFonts w:ascii="Times New Roman" w:eastAsia="Times New Roman" w:hAnsi="Times New Roman" w:cs="Times New Roman"/>
          <w:i/>
          <w:sz w:val="20"/>
          <w:szCs w:val="20"/>
        </w:rPr>
        <w:t>Theologicus</w:t>
      </w:r>
      <w:proofErr w:type="spellEnd"/>
      <w:r>
        <w:rPr>
          <w:rFonts w:ascii="Times New Roman" w:eastAsia="Times New Roman" w:hAnsi="Times New Roman" w:cs="Times New Roman"/>
          <w:sz w:val="20"/>
          <w:szCs w:val="20"/>
        </w:rPr>
        <w:t xml:space="preserve"> d. 42, </w:t>
      </w:r>
      <w:proofErr w:type="spellStart"/>
      <w:r>
        <w:rPr>
          <w:rFonts w:ascii="Times New Roman" w:eastAsia="Times New Roman" w:hAnsi="Times New Roman" w:cs="Times New Roman"/>
          <w:sz w:val="20"/>
          <w:szCs w:val="20"/>
        </w:rPr>
        <w:t>sectio</w:t>
      </w:r>
      <w:proofErr w:type="spellEnd"/>
      <w:r>
        <w:rPr>
          <w:rFonts w:ascii="Times New Roman" w:eastAsia="Times New Roman" w:hAnsi="Times New Roman" w:cs="Times New Roman"/>
          <w:sz w:val="20"/>
          <w:szCs w:val="20"/>
        </w:rPr>
        <w:t xml:space="preserve"> I, n. 9, p. 441</w:t>
      </w:r>
    </w:p>
  </w:footnote>
  <w:footnote w:id="7">
    <w:p w14:paraId="000000D9"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Cajetan </w:t>
      </w:r>
      <w:r>
        <w:rPr>
          <w:rFonts w:ascii="Times New Roman" w:eastAsia="Times New Roman" w:hAnsi="Times New Roman" w:cs="Times New Roman"/>
          <w:i/>
          <w:sz w:val="20"/>
          <w:szCs w:val="20"/>
        </w:rPr>
        <w:t>Commentary on the Summa</w:t>
      </w:r>
      <w:r>
        <w:rPr>
          <w:rFonts w:ascii="Times New Roman" w:eastAsia="Times New Roman" w:hAnsi="Times New Roman" w:cs="Times New Roman"/>
          <w:sz w:val="20"/>
          <w:szCs w:val="20"/>
        </w:rPr>
        <w:t xml:space="preserve"> I. q. 39 a. 1 VIII p. 398.</w:t>
      </w:r>
    </w:p>
  </w:footnote>
  <w:footnote w:id="8">
    <w:p w14:paraId="00000109"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For instance, Thomists commonly hold that genera and their differences (e.g., John of St. Thomas, </w:t>
      </w:r>
      <w:r>
        <w:rPr>
          <w:rFonts w:ascii="Times New Roman" w:eastAsia="Times New Roman" w:hAnsi="Times New Roman" w:cs="Times New Roman"/>
          <w:i/>
          <w:sz w:val="20"/>
          <w:szCs w:val="20"/>
        </w:rPr>
        <w:t xml:space="preserve">Cursus </w:t>
      </w:r>
      <w:proofErr w:type="spellStart"/>
      <w:r>
        <w:rPr>
          <w:rFonts w:ascii="Times New Roman" w:eastAsia="Times New Roman" w:hAnsi="Times New Roman" w:cs="Times New Roman"/>
          <w:i/>
          <w:sz w:val="20"/>
          <w:szCs w:val="20"/>
        </w:rPr>
        <w:t>Philosophicus</w:t>
      </w:r>
      <w:proofErr w:type="spellEnd"/>
      <w:r>
        <w:rPr>
          <w:rFonts w:ascii="Times New Roman" w:eastAsia="Times New Roman" w:hAnsi="Times New Roman" w:cs="Times New Roman"/>
          <w:sz w:val="20"/>
          <w:szCs w:val="20"/>
        </w:rPr>
        <w:t xml:space="preserve">, Secunda Pars Artis </w:t>
      </w:r>
      <w:proofErr w:type="spellStart"/>
      <w:r>
        <w:rPr>
          <w:rFonts w:ascii="Times New Roman" w:eastAsia="Times New Roman" w:hAnsi="Times New Roman" w:cs="Times New Roman"/>
          <w:sz w:val="20"/>
          <w:szCs w:val="20"/>
        </w:rPr>
        <w:t>Logicae</w:t>
      </w:r>
      <w:proofErr w:type="spellEnd"/>
      <w:r>
        <w:rPr>
          <w:rFonts w:ascii="Times New Roman" w:eastAsia="Times New Roman" w:hAnsi="Times New Roman" w:cs="Times New Roman"/>
          <w:sz w:val="20"/>
          <w:szCs w:val="20"/>
        </w:rPr>
        <w:t xml:space="preserve"> q. 3 a. 6 p. 129), as well as the divine attributes (</w:t>
      </w:r>
      <w:proofErr w:type="spellStart"/>
      <w:proofErr w:type="gramStart"/>
      <w:r>
        <w:rPr>
          <w:rFonts w:ascii="Times New Roman" w:eastAsia="Times New Roman" w:hAnsi="Times New Roman" w:cs="Times New Roman"/>
          <w:sz w:val="20"/>
          <w:szCs w:val="20"/>
        </w:rPr>
        <w:t>e.g.,Mezger</w:t>
      </w:r>
      <w:proofErr w:type="spellEnd"/>
      <w:proofErr w:type="gramEnd"/>
      <w:r>
        <w:rPr>
          <w:rFonts w:ascii="Times New Roman" w:eastAsia="Times New Roman" w:hAnsi="Times New Roman" w:cs="Times New Roman"/>
          <w:sz w:val="20"/>
          <w:szCs w:val="20"/>
        </w:rPr>
        <w:t xml:space="preserve"> t. </w:t>
      </w:r>
      <w:proofErr w:type="spellStart"/>
      <w:r>
        <w:rPr>
          <w:rFonts w:ascii="Times New Roman" w:eastAsia="Times New Roman" w:hAnsi="Times New Roman" w:cs="Times New Roman"/>
          <w:sz w:val="20"/>
          <w:szCs w:val="20"/>
        </w:rPr>
        <w:t>I d</w:t>
      </w:r>
      <w:proofErr w:type="spellEnd"/>
      <w:r>
        <w:rPr>
          <w:rFonts w:ascii="Times New Roman" w:eastAsia="Times New Roman" w:hAnsi="Times New Roman" w:cs="Times New Roman"/>
          <w:sz w:val="20"/>
          <w:szCs w:val="20"/>
        </w:rPr>
        <w:t>. 4 a. 3 p. 41-46) are virtually distinct. And Suarez holds that the individuating difference is virtually distinct from the common nature (</w:t>
      </w:r>
      <w:r>
        <w:rPr>
          <w:rFonts w:ascii="Times New Roman" w:eastAsia="Times New Roman" w:hAnsi="Times New Roman" w:cs="Times New Roman"/>
          <w:i/>
          <w:sz w:val="20"/>
          <w:szCs w:val="20"/>
        </w:rPr>
        <w:t>On Individuation</w:t>
      </w:r>
      <w:r>
        <w:rPr>
          <w:rFonts w:ascii="Times New Roman" w:eastAsia="Times New Roman" w:hAnsi="Times New Roman" w:cs="Times New Roman"/>
          <w:sz w:val="20"/>
          <w:szCs w:val="20"/>
        </w:rPr>
        <w:t xml:space="preserve"> s. II n. 8-16, p. 45-52</w:t>
      </w:r>
      <w:proofErr w:type="gramStart"/>
      <w:r>
        <w:rPr>
          <w:rFonts w:ascii="Times New Roman" w:eastAsia="Times New Roman" w:hAnsi="Times New Roman" w:cs="Times New Roman"/>
          <w:sz w:val="20"/>
          <w:szCs w:val="20"/>
        </w:rPr>
        <w:t>)..</w:t>
      </w:r>
      <w:proofErr w:type="gramEnd"/>
    </w:p>
  </w:footnote>
  <w:footnote w:id="9">
    <w:p w14:paraId="000000E2"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Cross (1999, 149).</w:t>
      </w:r>
    </w:p>
  </w:footnote>
  <w:footnote w:id="10">
    <w:p w14:paraId="000000C3"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By far the majority view is that A and B are identical </w:t>
      </w:r>
      <w:proofErr w:type="spellStart"/>
      <w:r>
        <w:rPr>
          <w:rFonts w:ascii="Times New Roman" w:eastAsia="Times New Roman" w:hAnsi="Times New Roman" w:cs="Times New Roman"/>
          <w:sz w:val="20"/>
          <w:szCs w:val="20"/>
        </w:rPr>
        <w:t>iff</w:t>
      </w:r>
      <w:proofErr w:type="spellEnd"/>
      <w:r>
        <w:rPr>
          <w:rFonts w:ascii="Times New Roman" w:eastAsia="Times New Roman" w:hAnsi="Times New Roman" w:cs="Times New Roman"/>
          <w:sz w:val="20"/>
          <w:szCs w:val="20"/>
        </w:rPr>
        <w:t xml:space="preserve"> neither A nor B can exist without the other; A and B are </w:t>
      </w:r>
      <w:proofErr w:type="gramStart"/>
      <w:r>
        <w:rPr>
          <w:rFonts w:ascii="Times New Roman" w:eastAsia="Times New Roman" w:hAnsi="Times New Roman" w:cs="Times New Roman"/>
          <w:sz w:val="20"/>
          <w:szCs w:val="20"/>
        </w:rPr>
        <w:t>really distinct</w:t>
      </w:r>
      <w:proofErr w:type="gram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iff</w:t>
      </w:r>
      <w:proofErr w:type="spellEnd"/>
      <w:r>
        <w:rPr>
          <w:rFonts w:ascii="Times New Roman" w:eastAsia="Times New Roman" w:hAnsi="Times New Roman" w:cs="Times New Roman"/>
          <w:sz w:val="20"/>
          <w:szCs w:val="20"/>
        </w:rPr>
        <w:t xml:space="preserve"> either A or B can exist without the other. Such a reading is defended in Cross (1998, 8), Steele and Williams (2019, 7), King (2003, 21-22), and Tweedale (1999</w:t>
      </w:r>
      <w:r>
        <w:rPr>
          <w:rFonts w:ascii="Times New Roman" w:eastAsia="Times New Roman" w:hAnsi="Times New Roman" w:cs="Times New Roman"/>
          <w:i/>
          <w:sz w:val="20"/>
          <w:szCs w:val="20"/>
        </w:rPr>
        <w:t>,</w:t>
      </w:r>
      <w:r>
        <w:rPr>
          <w:rFonts w:ascii="Times New Roman" w:eastAsia="Times New Roman" w:hAnsi="Times New Roman" w:cs="Times New Roman"/>
          <w:sz w:val="20"/>
          <w:szCs w:val="20"/>
        </w:rPr>
        <w:t xml:space="preserve"> 579).  Blander (2020, 245-246) argues that this is incorrect—existential separability is neither necessary nor sufficient for real distinction. Grajewski (1944, 59-61) comes the closest to our view when he claims that A and B are </w:t>
      </w:r>
      <w:proofErr w:type="gramStart"/>
      <w:r>
        <w:rPr>
          <w:rFonts w:ascii="Times New Roman" w:eastAsia="Times New Roman" w:hAnsi="Times New Roman" w:cs="Times New Roman"/>
          <w:sz w:val="20"/>
          <w:szCs w:val="20"/>
        </w:rPr>
        <w:t>really distinct</w:t>
      </w:r>
      <w:proofErr w:type="gram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iff</w:t>
      </w:r>
      <w:proofErr w:type="spellEnd"/>
      <w:r>
        <w:rPr>
          <w:rFonts w:ascii="Times New Roman" w:eastAsia="Times New Roman" w:hAnsi="Times New Roman" w:cs="Times New Roman"/>
          <w:sz w:val="20"/>
          <w:szCs w:val="20"/>
        </w:rPr>
        <w:t xml:space="preserve"> they are either (</w:t>
      </w:r>
      <w:proofErr w:type="spellStart"/>
      <w:r>
        <w:rPr>
          <w:rFonts w:ascii="Times New Roman" w:eastAsia="Times New Roman" w:hAnsi="Times New Roman" w:cs="Times New Roman"/>
          <w:sz w:val="20"/>
          <w:szCs w:val="20"/>
        </w:rPr>
        <w:t>i</w:t>
      </w:r>
      <w:proofErr w:type="spellEnd"/>
      <w:r>
        <w:rPr>
          <w:rFonts w:ascii="Times New Roman" w:eastAsia="Times New Roman" w:hAnsi="Times New Roman" w:cs="Times New Roman"/>
          <w:sz w:val="20"/>
          <w:szCs w:val="20"/>
        </w:rPr>
        <w:t>) existentially separable, (ii) related by causal dependence, or (iii) they exist in really distinct subjects.</w:t>
      </w:r>
    </w:p>
  </w:footnote>
  <w:footnote w:id="11">
    <w:p w14:paraId="000000C4"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See King (2003, 9). As an example, for Scotus the </w:t>
      </w:r>
      <w:proofErr w:type="gramStart"/>
      <w:r>
        <w:rPr>
          <w:rFonts w:ascii="Times New Roman" w:eastAsia="Times New Roman" w:hAnsi="Times New Roman" w:cs="Times New Roman"/>
          <w:sz w:val="20"/>
          <w:szCs w:val="20"/>
        </w:rPr>
        <w:t>Father’s</w:t>
      </w:r>
      <w:proofErr w:type="gramEnd"/>
      <w:r>
        <w:rPr>
          <w:rFonts w:ascii="Times New Roman" w:eastAsia="Times New Roman" w:hAnsi="Times New Roman" w:cs="Times New Roman"/>
          <w:sz w:val="20"/>
          <w:szCs w:val="20"/>
        </w:rPr>
        <w:t xml:space="preserve"> paternity is formally distinct from the divine essence, so they are identical. But they are not indiscernible: paternity is </w:t>
      </w:r>
      <w:proofErr w:type="gramStart"/>
      <w:r>
        <w:rPr>
          <w:rFonts w:ascii="Times New Roman" w:eastAsia="Times New Roman" w:hAnsi="Times New Roman" w:cs="Times New Roman"/>
          <w:sz w:val="20"/>
          <w:szCs w:val="20"/>
        </w:rPr>
        <w:t>incommunicable</w:t>
      </w:r>
      <w:proofErr w:type="gramEnd"/>
      <w:r>
        <w:rPr>
          <w:rFonts w:ascii="Times New Roman" w:eastAsia="Times New Roman" w:hAnsi="Times New Roman" w:cs="Times New Roman"/>
          <w:sz w:val="20"/>
          <w:szCs w:val="20"/>
        </w:rPr>
        <w:t xml:space="preserve"> and the essence is communicable (Ordinatio </w:t>
      </w:r>
      <w:proofErr w:type="spellStart"/>
      <w:r>
        <w:rPr>
          <w:rFonts w:ascii="Times New Roman" w:eastAsia="Times New Roman" w:hAnsi="Times New Roman" w:cs="Times New Roman"/>
          <w:sz w:val="20"/>
          <w:szCs w:val="20"/>
        </w:rPr>
        <w:t>I d</w:t>
      </w:r>
      <w:proofErr w:type="spellEnd"/>
      <w:r>
        <w:rPr>
          <w:rFonts w:ascii="Times New Roman" w:eastAsia="Times New Roman" w:hAnsi="Times New Roman" w:cs="Times New Roman"/>
          <w:sz w:val="20"/>
          <w:szCs w:val="20"/>
        </w:rPr>
        <w:t xml:space="preserve">. 2, part 2. q. 1 n. 389-403 (Vat. II, 349-357). </w:t>
      </w:r>
    </w:p>
  </w:footnote>
  <w:footnote w:id="12">
    <w:p w14:paraId="000000C5"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Scotus, </w:t>
      </w:r>
      <w:r>
        <w:rPr>
          <w:rFonts w:ascii="Times New Roman" w:eastAsia="Times New Roman" w:hAnsi="Times New Roman" w:cs="Times New Roman"/>
          <w:i/>
          <w:sz w:val="20"/>
          <w:szCs w:val="20"/>
        </w:rPr>
        <w:t>Rep.</w:t>
      </w:r>
      <w:r>
        <w:rPr>
          <w:rFonts w:ascii="Times New Roman" w:eastAsia="Times New Roman" w:hAnsi="Times New Roman" w:cs="Times New Roman"/>
          <w:sz w:val="20"/>
          <w:szCs w:val="20"/>
        </w:rPr>
        <w:t xml:space="preserve"> I-A d. 33 q. 3 n. 63 (Wolter and Bychkov, 330). In terms of the secondary literature, this account of formal identity and formal distinction is relatively uncontroversial, essentially agreeing with Cross (1999</w:t>
      </w:r>
      <w:r>
        <w:rPr>
          <w:rFonts w:ascii="Times New Roman" w:eastAsia="Times New Roman" w:hAnsi="Times New Roman" w:cs="Times New Roman"/>
          <w:i/>
          <w:sz w:val="20"/>
          <w:szCs w:val="20"/>
        </w:rPr>
        <w:t>:</w:t>
      </w:r>
      <w:r>
        <w:rPr>
          <w:rFonts w:ascii="Times New Roman" w:eastAsia="Times New Roman" w:hAnsi="Times New Roman" w:cs="Times New Roman"/>
          <w:sz w:val="20"/>
          <w:szCs w:val="20"/>
        </w:rPr>
        <w:t xml:space="preserve"> 149), Adams (1976: 35), Steele and Williams (2019: 8), and King (2003: 22-23) that the two defining features of formal distinction are identity and the non-inclusion of one </w:t>
      </w:r>
      <w:r>
        <w:rPr>
          <w:rFonts w:ascii="Times New Roman" w:eastAsia="Times New Roman" w:hAnsi="Times New Roman" w:cs="Times New Roman"/>
          <w:i/>
          <w:sz w:val="20"/>
          <w:szCs w:val="20"/>
        </w:rPr>
        <w:t xml:space="preserve">ratio </w:t>
      </w:r>
      <w:r>
        <w:rPr>
          <w:rFonts w:ascii="Times New Roman" w:eastAsia="Times New Roman" w:hAnsi="Times New Roman" w:cs="Times New Roman"/>
          <w:sz w:val="20"/>
          <w:szCs w:val="20"/>
        </w:rPr>
        <w:t xml:space="preserve">in the other. Many of the </w:t>
      </w:r>
      <w:proofErr w:type="spellStart"/>
      <w:r>
        <w:rPr>
          <w:rFonts w:ascii="Times New Roman" w:eastAsia="Times New Roman" w:hAnsi="Times New Roman" w:cs="Times New Roman"/>
          <w:sz w:val="20"/>
          <w:szCs w:val="20"/>
        </w:rPr>
        <w:t>Scotists</w:t>
      </w:r>
      <w:proofErr w:type="spellEnd"/>
      <w:r>
        <w:rPr>
          <w:rFonts w:ascii="Times New Roman" w:eastAsia="Times New Roman" w:hAnsi="Times New Roman" w:cs="Times New Roman"/>
          <w:sz w:val="20"/>
          <w:szCs w:val="20"/>
        </w:rPr>
        <w:t xml:space="preserve"> (e.g., Sannig </w:t>
      </w:r>
      <w:r>
        <w:rPr>
          <w:rFonts w:ascii="Times New Roman" w:eastAsia="Times New Roman" w:hAnsi="Times New Roman" w:cs="Times New Roman"/>
          <w:i/>
          <w:sz w:val="20"/>
          <w:szCs w:val="20"/>
        </w:rPr>
        <w:t xml:space="preserve">Cursus </w:t>
      </w:r>
      <w:proofErr w:type="spellStart"/>
      <w:r>
        <w:rPr>
          <w:rFonts w:ascii="Times New Roman" w:eastAsia="Times New Roman" w:hAnsi="Times New Roman" w:cs="Times New Roman"/>
          <w:i/>
          <w:sz w:val="20"/>
          <w:szCs w:val="20"/>
        </w:rPr>
        <w:t>Philosophici</w:t>
      </w:r>
      <w:proofErr w:type="spellEnd"/>
      <w:r>
        <w:rPr>
          <w:rFonts w:ascii="Times New Roman" w:eastAsia="Times New Roman" w:hAnsi="Times New Roman" w:cs="Times New Roman"/>
          <w:sz w:val="20"/>
          <w:szCs w:val="20"/>
        </w:rPr>
        <w:t xml:space="preserve"> d. 1, q. 4 n. 9 p. 127) give a similar account. Blander (2020: 236) adds a third criterion, but this addition might not introduce a substantive difference.  </w:t>
      </w:r>
    </w:p>
  </w:footnote>
  <w:footnote w:id="13">
    <w:p w14:paraId="000000C6"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Ord.</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 d</w:t>
      </w:r>
      <w:proofErr w:type="spellEnd"/>
      <w:r>
        <w:rPr>
          <w:rFonts w:ascii="Times New Roman" w:eastAsia="Times New Roman" w:hAnsi="Times New Roman" w:cs="Times New Roman"/>
          <w:sz w:val="20"/>
          <w:szCs w:val="20"/>
        </w:rPr>
        <w:t>. 8 p. 1 q. 4 n. 193 (Vat. IV, 261-262).</w:t>
      </w:r>
    </w:p>
  </w:footnote>
  <w:footnote w:id="14">
    <w:p w14:paraId="000000C7"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Cross (1999, 149).</w:t>
      </w:r>
    </w:p>
  </w:footnote>
  <w:footnote w:id="15">
    <w:p w14:paraId="000000EB"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exceptions being cases where the Thomists would </w:t>
      </w:r>
      <w:proofErr w:type="spellStart"/>
      <w:r>
        <w:rPr>
          <w:rFonts w:ascii="Times New Roman" w:eastAsia="Times New Roman" w:hAnsi="Times New Roman" w:cs="Times New Roman"/>
          <w:sz w:val="20"/>
          <w:szCs w:val="20"/>
        </w:rPr>
        <w:t>posit</w:t>
      </w:r>
      <w:proofErr w:type="spellEnd"/>
      <w:r>
        <w:rPr>
          <w:rFonts w:ascii="Times New Roman" w:eastAsia="Times New Roman" w:hAnsi="Times New Roman" w:cs="Times New Roman"/>
          <w:sz w:val="20"/>
          <w:szCs w:val="20"/>
        </w:rPr>
        <w:t xml:space="preserve"> a real distinction instead, such as between the soul and its powers, which the </w:t>
      </w:r>
      <w:proofErr w:type="spellStart"/>
      <w:r>
        <w:rPr>
          <w:rFonts w:ascii="Times New Roman" w:eastAsia="Times New Roman" w:hAnsi="Times New Roman" w:cs="Times New Roman"/>
          <w:sz w:val="20"/>
          <w:szCs w:val="20"/>
        </w:rPr>
        <w:t>Scotists</w:t>
      </w:r>
      <w:proofErr w:type="spellEnd"/>
      <w:r>
        <w:rPr>
          <w:rFonts w:ascii="Times New Roman" w:eastAsia="Times New Roman" w:hAnsi="Times New Roman" w:cs="Times New Roman"/>
          <w:sz w:val="20"/>
          <w:szCs w:val="20"/>
        </w:rPr>
        <w:t xml:space="preserve"> hold to be formally </w:t>
      </w:r>
      <w:proofErr w:type="gramStart"/>
      <w:r>
        <w:rPr>
          <w:rFonts w:ascii="Times New Roman" w:eastAsia="Times New Roman" w:hAnsi="Times New Roman" w:cs="Times New Roman"/>
          <w:sz w:val="20"/>
          <w:szCs w:val="20"/>
        </w:rPr>
        <w:t>distinct</w:t>
      </w:r>
      <w:proofErr w:type="gramEnd"/>
      <w:r>
        <w:rPr>
          <w:rFonts w:ascii="Times New Roman" w:eastAsia="Times New Roman" w:hAnsi="Times New Roman" w:cs="Times New Roman"/>
          <w:sz w:val="20"/>
          <w:szCs w:val="20"/>
        </w:rPr>
        <w:t xml:space="preserve"> and the Thomists hold to be really distinct. </w:t>
      </w:r>
    </w:p>
  </w:footnote>
  <w:footnote w:id="16">
    <w:p w14:paraId="000000FF"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virtual distinction shows up as a middle distinction not just–as we will see below–in the writings of Renaissance and Early Modern Thomists, but also in the writings of contemporary Thomists. See Feser (2014, 80-85) and Tomaszewski (2023) for two recent examples. </w:t>
      </w:r>
    </w:p>
  </w:footnote>
  <w:footnote w:id="17">
    <w:p w14:paraId="00000100"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John of St. Thomas </w:t>
      </w:r>
      <w:r>
        <w:rPr>
          <w:rFonts w:ascii="Times New Roman" w:eastAsia="Times New Roman" w:hAnsi="Times New Roman" w:cs="Times New Roman"/>
          <w:i/>
          <w:sz w:val="20"/>
          <w:szCs w:val="20"/>
        </w:rPr>
        <w:t xml:space="preserve">Cursus </w:t>
      </w:r>
      <w:proofErr w:type="spellStart"/>
      <w:r>
        <w:rPr>
          <w:rFonts w:ascii="Times New Roman" w:eastAsia="Times New Roman" w:hAnsi="Times New Roman" w:cs="Times New Roman"/>
          <w:i/>
          <w:sz w:val="20"/>
          <w:szCs w:val="20"/>
        </w:rPr>
        <w:t>Philosophicus</w:t>
      </w:r>
      <w:proofErr w:type="spellEnd"/>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Logica q. 2 a. 3 p. 109. “Without apprehension or a fiction of the intellect” excludes cases where things are merely apprehended to be the same, though prior to any act of the intellect they are not.</w:t>
      </w:r>
    </w:p>
  </w:footnote>
  <w:footnote w:id="18">
    <w:p w14:paraId="000000C8"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Monasterium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Obernaltaichenses</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 xml:space="preserve">Virtus in Medio! </w:t>
      </w:r>
      <w:r>
        <w:rPr>
          <w:rFonts w:ascii="Times New Roman" w:eastAsia="Times New Roman" w:hAnsi="Times New Roman" w:cs="Times New Roman"/>
          <w:sz w:val="20"/>
          <w:szCs w:val="20"/>
        </w:rPr>
        <w:t>Q. 1 p. 3. Emphasis original.</w:t>
      </w:r>
    </w:p>
  </w:footnote>
  <w:footnote w:id="19">
    <w:p w14:paraId="000000F3"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Of course, Scotus has a more restrictive account of what it is to be </w:t>
      </w:r>
      <w:proofErr w:type="gramStart"/>
      <w:r>
        <w:rPr>
          <w:rFonts w:ascii="Times New Roman" w:eastAsia="Times New Roman" w:hAnsi="Times New Roman" w:cs="Times New Roman"/>
          <w:sz w:val="20"/>
          <w:szCs w:val="20"/>
        </w:rPr>
        <w:t>really distinct</w:t>
      </w:r>
      <w:proofErr w:type="gramEnd"/>
      <w:r>
        <w:rPr>
          <w:rFonts w:ascii="Times New Roman" w:eastAsia="Times New Roman" w:hAnsi="Times New Roman" w:cs="Times New Roman"/>
          <w:sz w:val="20"/>
          <w:szCs w:val="20"/>
        </w:rPr>
        <w:t xml:space="preserve"> and so would be unbothered by this.</w:t>
      </w:r>
    </w:p>
  </w:footnote>
  <w:footnote w:id="20">
    <w:p w14:paraId="000000C9"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John of St. Thomas </w:t>
      </w:r>
      <w:r>
        <w:rPr>
          <w:rFonts w:ascii="Times New Roman" w:eastAsia="Times New Roman" w:hAnsi="Times New Roman" w:cs="Times New Roman"/>
          <w:i/>
          <w:sz w:val="20"/>
          <w:szCs w:val="20"/>
        </w:rPr>
        <w:t xml:space="preserve">Cursus </w:t>
      </w:r>
      <w:proofErr w:type="spellStart"/>
      <w:r>
        <w:rPr>
          <w:rFonts w:ascii="Times New Roman" w:eastAsia="Times New Roman" w:hAnsi="Times New Roman" w:cs="Times New Roman"/>
          <w:i/>
          <w:sz w:val="20"/>
          <w:szCs w:val="20"/>
        </w:rPr>
        <w:t>Philosophicus</w:t>
      </w:r>
      <w:proofErr w:type="spellEnd"/>
      <w:r>
        <w:rPr>
          <w:rFonts w:ascii="Times New Roman" w:eastAsia="Times New Roman" w:hAnsi="Times New Roman" w:cs="Times New Roman"/>
          <w:sz w:val="20"/>
          <w:szCs w:val="20"/>
        </w:rPr>
        <w:t xml:space="preserve"> Logica q. 2 a. 3 p. 109 and </w:t>
      </w:r>
      <w:proofErr w:type="spellStart"/>
      <w:r>
        <w:rPr>
          <w:rFonts w:ascii="Times New Roman" w:eastAsia="Times New Roman" w:hAnsi="Times New Roman" w:cs="Times New Roman"/>
          <w:sz w:val="20"/>
          <w:szCs w:val="20"/>
        </w:rPr>
        <w:t>Monasterium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Obernaltaichenses</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Virtus in Medio!</w:t>
      </w:r>
      <w:r>
        <w:rPr>
          <w:rFonts w:ascii="Times New Roman" w:eastAsia="Times New Roman" w:hAnsi="Times New Roman" w:cs="Times New Roman"/>
          <w:sz w:val="20"/>
          <w:szCs w:val="20"/>
        </w:rPr>
        <w:t xml:space="preserve"> Q. 1 p. 3. Emphasis original.</w:t>
      </w:r>
    </w:p>
  </w:footnote>
  <w:footnote w:id="21">
    <w:p w14:paraId="000000CB"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Monasterium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Obernaltaichenses</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 xml:space="preserve">Virtus in Medio! </w:t>
      </w:r>
      <w:r>
        <w:rPr>
          <w:rFonts w:ascii="Times New Roman" w:eastAsia="Times New Roman" w:hAnsi="Times New Roman" w:cs="Times New Roman"/>
          <w:sz w:val="20"/>
          <w:szCs w:val="20"/>
        </w:rPr>
        <w:t>Q. 1 p. 4</w:t>
      </w:r>
    </w:p>
  </w:footnote>
  <w:footnote w:id="22">
    <w:p w14:paraId="000000CC"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Monasterium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Obernaltaichenses</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 xml:space="preserve">Virtus in Medio! </w:t>
      </w:r>
      <w:r>
        <w:rPr>
          <w:rFonts w:ascii="Times New Roman" w:eastAsia="Times New Roman" w:hAnsi="Times New Roman" w:cs="Times New Roman"/>
          <w:sz w:val="20"/>
          <w:szCs w:val="20"/>
        </w:rPr>
        <w:t>Q. 1 p. 5</w:t>
      </w:r>
    </w:p>
  </w:footnote>
  <w:footnote w:id="23">
    <w:p w14:paraId="000000EA"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 distinction whose foundation in reality is some virtual distinction is traditionally called </w:t>
      </w:r>
      <w:proofErr w:type="gramStart"/>
      <w:r>
        <w:rPr>
          <w:rFonts w:ascii="Times New Roman" w:eastAsia="Times New Roman" w:hAnsi="Times New Roman" w:cs="Times New Roman"/>
          <w:sz w:val="20"/>
          <w:szCs w:val="20"/>
        </w:rPr>
        <w:t>a  distinction</w:t>
      </w:r>
      <w:proofErr w:type="gramEnd"/>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 xml:space="preserve">rationis </w:t>
      </w:r>
      <w:proofErr w:type="spellStart"/>
      <w:r>
        <w:rPr>
          <w:rFonts w:ascii="Times New Roman" w:eastAsia="Times New Roman" w:hAnsi="Times New Roman" w:cs="Times New Roman"/>
          <w:i/>
          <w:sz w:val="20"/>
          <w:szCs w:val="20"/>
        </w:rPr>
        <w:t>ratiocinatae</w:t>
      </w:r>
      <w:proofErr w:type="spellEnd"/>
      <w:r>
        <w:rPr>
          <w:rFonts w:ascii="Times New Roman" w:eastAsia="Times New Roman" w:hAnsi="Times New Roman" w:cs="Times New Roman"/>
          <w:sz w:val="20"/>
          <w:szCs w:val="20"/>
        </w:rPr>
        <w:t xml:space="preserve">. The scholastics themselves frequently elide the distinction between the distinction </w:t>
      </w:r>
      <w:r>
        <w:rPr>
          <w:rFonts w:ascii="Times New Roman" w:eastAsia="Times New Roman" w:hAnsi="Times New Roman" w:cs="Times New Roman"/>
          <w:i/>
          <w:sz w:val="20"/>
          <w:szCs w:val="20"/>
        </w:rPr>
        <w:t xml:space="preserve">rationis </w:t>
      </w:r>
      <w:proofErr w:type="spellStart"/>
      <w:r>
        <w:rPr>
          <w:rFonts w:ascii="Times New Roman" w:eastAsia="Times New Roman" w:hAnsi="Times New Roman" w:cs="Times New Roman"/>
          <w:i/>
          <w:sz w:val="20"/>
          <w:szCs w:val="20"/>
        </w:rPr>
        <w:t>ratiocinatae</w:t>
      </w:r>
      <w:proofErr w:type="spellEnd"/>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 xml:space="preserve">and the accompanying virtual distinction; for this point and more on the virtual distinction, see Novák 2023, p. 300-301. </w:t>
      </w:r>
    </w:p>
  </w:footnote>
  <w:footnote w:id="24">
    <w:p w14:paraId="000000CD"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John of St. Thomas </w:t>
      </w:r>
      <w:r>
        <w:rPr>
          <w:rFonts w:ascii="Times New Roman" w:eastAsia="Times New Roman" w:hAnsi="Times New Roman" w:cs="Times New Roman"/>
          <w:i/>
          <w:sz w:val="20"/>
          <w:szCs w:val="20"/>
        </w:rPr>
        <w:t xml:space="preserve">Cursus </w:t>
      </w:r>
      <w:proofErr w:type="spellStart"/>
      <w:r>
        <w:rPr>
          <w:rFonts w:ascii="Times New Roman" w:eastAsia="Times New Roman" w:hAnsi="Times New Roman" w:cs="Times New Roman"/>
          <w:i/>
          <w:sz w:val="20"/>
          <w:szCs w:val="20"/>
        </w:rPr>
        <w:t>Philosophicus</w:t>
      </w:r>
      <w:proofErr w:type="spellEnd"/>
      <w:r>
        <w:rPr>
          <w:rFonts w:ascii="Times New Roman" w:eastAsia="Times New Roman" w:hAnsi="Times New Roman" w:cs="Times New Roman"/>
          <w:sz w:val="20"/>
          <w:szCs w:val="20"/>
        </w:rPr>
        <w:t xml:space="preserve"> Logica q. 2 a. 3 p. 111. Here we take </w:t>
      </w:r>
      <w:r>
        <w:rPr>
          <w:rFonts w:ascii="Times New Roman" w:eastAsia="Times New Roman" w:hAnsi="Times New Roman" w:cs="Times New Roman"/>
          <w:i/>
          <w:sz w:val="20"/>
          <w:szCs w:val="20"/>
        </w:rPr>
        <w:t>rationes</w:t>
      </w:r>
      <w:r>
        <w:rPr>
          <w:rFonts w:ascii="Times New Roman" w:eastAsia="Times New Roman" w:hAnsi="Times New Roman" w:cs="Times New Roman"/>
          <w:sz w:val="20"/>
          <w:szCs w:val="20"/>
        </w:rPr>
        <w:t xml:space="preserve"> and perfections to be the same.</w:t>
      </w:r>
    </w:p>
  </w:footnote>
  <w:footnote w:id="25">
    <w:p w14:paraId="000000CE"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John of St. Thomas </w:t>
      </w:r>
      <w:r>
        <w:rPr>
          <w:rFonts w:ascii="Times New Roman" w:eastAsia="Times New Roman" w:hAnsi="Times New Roman" w:cs="Times New Roman"/>
          <w:i/>
          <w:sz w:val="20"/>
          <w:szCs w:val="20"/>
        </w:rPr>
        <w:t xml:space="preserve">Cursus </w:t>
      </w:r>
      <w:proofErr w:type="spellStart"/>
      <w:r>
        <w:rPr>
          <w:rFonts w:ascii="Times New Roman" w:eastAsia="Times New Roman" w:hAnsi="Times New Roman" w:cs="Times New Roman"/>
          <w:i/>
          <w:sz w:val="20"/>
          <w:szCs w:val="20"/>
        </w:rPr>
        <w:t>Philosophicus</w:t>
      </w:r>
      <w:proofErr w:type="spellEnd"/>
      <w:r>
        <w:rPr>
          <w:rFonts w:ascii="Times New Roman" w:eastAsia="Times New Roman" w:hAnsi="Times New Roman" w:cs="Times New Roman"/>
          <w:sz w:val="20"/>
          <w:szCs w:val="20"/>
        </w:rPr>
        <w:t xml:space="preserve"> Logica q. 2 a. 3 p. 111</w:t>
      </w:r>
    </w:p>
  </w:footnote>
  <w:footnote w:id="26">
    <w:p w14:paraId="000000E3"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For a careful discussion of another of Scotus’s arguments for the formal distinction, see Novák (2022).</w:t>
      </w:r>
    </w:p>
  </w:footnote>
  <w:footnote w:id="27">
    <w:p w14:paraId="000000D1"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See, e.g., Aquinas </w:t>
      </w:r>
      <w:r>
        <w:rPr>
          <w:rFonts w:ascii="Times New Roman" w:eastAsia="Times New Roman" w:hAnsi="Times New Roman" w:cs="Times New Roman"/>
          <w:i/>
          <w:sz w:val="20"/>
          <w:szCs w:val="20"/>
        </w:rPr>
        <w:t xml:space="preserve">Summa </w:t>
      </w:r>
      <w:proofErr w:type="spellStart"/>
      <w:r>
        <w:rPr>
          <w:rFonts w:ascii="Times New Roman" w:eastAsia="Times New Roman" w:hAnsi="Times New Roman" w:cs="Times New Roman"/>
          <w:i/>
          <w:sz w:val="20"/>
          <w:szCs w:val="20"/>
        </w:rPr>
        <w:t>Theologicae</w:t>
      </w:r>
      <w:proofErr w:type="spellEnd"/>
      <w:r>
        <w:rPr>
          <w:rFonts w:ascii="Times New Roman" w:eastAsia="Times New Roman" w:hAnsi="Times New Roman" w:cs="Times New Roman"/>
          <w:sz w:val="20"/>
          <w:szCs w:val="20"/>
        </w:rPr>
        <w:t xml:space="preserve"> I Q. 28 a. 1.</w:t>
      </w:r>
    </w:p>
  </w:footnote>
  <w:footnote w:id="28">
    <w:p w14:paraId="000000E6"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Of course, the personal properties will not for this reason be identical to </w:t>
      </w:r>
      <w:r>
        <w:rPr>
          <w:rFonts w:ascii="Times New Roman" w:eastAsia="Times New Roman" w:hAnsi="Times New Roman" w:cs="Times New Roman"/>
          <w:i/>
          <w:sz w:val="20"/>
          <w:szCs w:val="20"/>
        </w:rPr>
        <w:t>one another</w:t>
      </w:r>
      <w:r>
        <w:rPr>
          <w:rFonts w:ascii="Times New Roman" w:eastAsia="Times New Roman" w:hAnsi="Times New Roman" w:cs="Times New Roman"/>
          <w:sz w:val="20"/>
          <w:szCs w:val="20"/>
        </w:rPr>
        <w:t xml:space="preserve">, any more than the Trinitarian persons are. </w:t>
      </w:r>
    </w:p>
  </w:footnote>
  <w:footnote w:id="29">
    <w:p w14:paraId="000000E5"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Aquinas </w:t>
      </w:r>
      <w:r>
        <w:rPr>
          <w:rFonts w:ascii="Times New Roman" w:eastAsia="Times New Roman" w:hAnsi="Times New Roman" w:cs="Times New Roman"/>
          <w:i/>
          <w:sz w:val="20"/>
          <w:szCs w:val="20"/>
        </w:rPr>
        <w:t xml:space="preserve">Summa </w:t>
      </w:r>
      <w:proofErr w:type="spellStart"/>
      <w:r>
        <w:rPr>
          <w:rFonts w:ascii="Times New Roman" w:eastAsia="Times New Roman" w:hAnsi="Times New Roman" w:cs="Times New Roman"/>
          <w:i/>
          <w:sz w:val="20"/>
          <w:szCs w:val="20"/>
        </w:rPr>
        <w:t>Theologicae</w:t>
      </w:r>
      <w:proofErr w:type="spellEnd"/>
      <w:r>
        <w:rPr>
          <w:rFonts w:ascii="Times New Roman" w:eastAsia="Times New Roman" w:hAnsi="Times New Roman" w:cs="Times New Roman"/>
          <w:sz w:val="20"/>
          <w:szCs w:val="20"/>
        </w:rPr>
        <w:t xml:space="preserve"> I Q. 28 a. 2.</w:t>
      </w:r>
    </w:p>
  </w:footnote>
  <w:footnote w:id="30">
    <w:p w14:paraId="000000E4"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Nielsen (1982)</w:t>
      </w:r>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p.32-38.</w:t>
      </w:r>
    </w:p>
  </w:footnote>
  <w:footnote w:id="31">
    <w:p w14:paraId="000000C2"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Aquinas, </w:t>
      </w:r>
      <w:r>
        <w:rPr>
          <w:rFonts w:ascii="Times New Roman" w:eastAsia="Times New Roman" w:hAnsi="Times New Roman" w:cs="Times New Roman"/>
          <w:i/>
          <w:sz w:val="20"/>
          <w:szCs w:val="20"/>
        </w:rPr>
        <w:t xml:space="preserve">De </w:t>
      </w:r>
      <w:proofErr w:type="spellStart"/>
      <w:r>
        <w:rPr>
          <w:rFonts w:ascii="Times New Roman" w:eastAsia="Times New Roman" w:hAnsi="Times New Roman" w:cs="Times New Roman"/>
          <w:i/>
          <w:sz w:val="20"/>
          <w:szCs w:val="20"/>
        </w:rPr>
        <w:t>Potentia</w:t>
      </w:r>
      <w:proofErr w:type="spellEnd"/>
      <w:r>
        <w:rPr>
          <w:rFonts w:ascii="Times New Roman" w:eastAsia="Times New Roman" w:hAnsi="Times New Roman" w:cs="Times New Roman"/>
          <w:sz w:val="20"/>
          <w:szCs w:val="20"/>
        </w:rPr>
        <w:t xml:space="preserve">. Q. VII a. 1 p. 220. “On the contrary, affirmation and negation are not verified of the same. Now the divine essence is communicable to the three Persons, whereas the properties are incommunicable. </w:t>
      </w:r>
      <w:proofErr w:type="gramStart"/>
      <w:r>
        <w:rPr>
          <w:rFonts w:ascii="Times New Roman" w:eastAsia="Times New Roman" w:hAnsi="Times New Roman" w:cs="Times New Roman"/>
          <w:sz w:val="20"/>
          <w:szCs w:val="20"/>
        </w:rPr>
        <w:t>Therefore</w:t>
      </w:r>
      <w:proofErr w:type="gramEnd"/>
      <w:r>
        <w:rPr>
          <w:rFonts w:ascii="Times New Roman" w:eastAsia="Times New Roman" w:hAnsi="Times New Roman" w:cs="Times New Roman"/>
          <w:sz w:val="20"/>
          <w:szCs w:val="20"/>
        </w:rPr>
        <w:t xml:space="preserve"> the property and essence are not the same.”</w:t>
      </w:r>
    </w:p>
  </w:footnote>
  <w:footnote w:id="32">
    <w:p w14:paraId="000000D7"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Aquinas, </w:t>
      </w:r>
      <w:r>
        <w:rPr>
          <w:rFonts w:ascii="Times New Roman" w:eastAsia="Times New Roman" w:hAnsi="Times New Roman" w:cs="Times New Roman"/>
          <w:i/>
          <w:sz w:val="20"/>
          <w:szCs w:val="20"/>
        </w:rPr>
        <w:t xml:space="preserve">De </w:t>
      </w:r>
      <w:proofErr w:type="spellStart"/>
      <w:r>
        <w:rPr>
          <w:rFonts w:ascii="Times New Roman" w:eastAsia="Times New Roman" w:hAnsi="Times New Roman" w:cs="Times New Roman"/>
          <w:i/>
          <w:sz w:val="20"/>
          <w:szCs w:val="20"/>
        </w:rPr>
        <w:t>Potentia</w:t>
      </w:r>
      <w:proofErr w:type="spellEnd"/>
      <w:r>
        <w:rPr>
          <w:rFonts w:ascii="Times New Roman" w:eastAsia="Times New Roman" w:hAnsi="Times New Roman" w:cs="Times New Roman"/>
          <w:sz w:val="20"/>
          <w:szCs w:val="20"/>
        </w:rPr>
        <w:t xml:space="preserve">. Q. VII a. 1 p. 221. </w:t>
      </w:r>
    </w:p>
  </w:footnote>
  <w:footnote w:id="33">
    <w:p w14:paraId="000000E7"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According to the heresy of Sabellianism, the three persons of the Trinity are not really </w:t>
      </w:r>
      <w:proofErr w:type="gramStart"/>
      <w:r>
        <w:rPr>
          <w:rFonts w:ascii="Times New Roman" w:eastAsia="Times New Roman" w:hAnsi="Times New Roman" w:cs="Times New Roman"/>
          <w:sz w:val="20"/>
          <w:szCs w:val="20"/>
        </w:rPr>
        <w:t>distinct, but</w:t>
      </w:r>
      <w:proofErr w:type="gramEnd"/>
      <w:r>
        <w:rPr>
          <w:rFonts w:ascii="Times New Roman" w:eastAsia="Times New Roman" w:hAnsi="Times New Roman" w:cs="Times New Roman"/>
          <w:sz w:val="20"/>
          <w:szCs w:val="20"/>
        </w:rPr>
        <w:t xml:space="preserve"> are mere modes or appearances of the same one person.</w:t>
      </w:r>
    </w:p>
  </w:footnote>
  <w:footnote w:id="34">
    <w:p w14:paraId="000000BA"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See e.g., Mezger </w:t>
      </w:r>
      <w:proofErr w:type="spellStart"/>
      <w:r>
        <w:rPr>
          <w:rFonts w:ascii="Times New Roman" w:eastAsia="Times New Roman" w:hAnsi="Times New Roman" w:cs="Times New Roman"/>
          <w:i/>
          <w:sz w:val="20"/>
          <w:szCs w:val="20"/>
        </w:rPr>
        <w:t>Theologia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Salsburgensis</w:t>
      </w:r>
      <w:proofErr w:type="spellEnd"/>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tract. I, d. IV, a. I s. 4 n. 29, p. 39.</w:t>
      </w:r>
    </w:p>
  </w:footnote>
  <w:footnote w:id="35">
    <w:p w14:paraId="000000BB"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“And I say, without assertion and without prejudice of a better opinion, that the idea by which the supposit is formally incommunicable (let it be a) and the idea of essence as essence (let it be b) have a distinction that precedes every act of created and uncreated intellect. I prove this as follows: the first supposit formally or really has a communicable being, otherwise it could not communicate it; </w:t>
      </w:r>
      <w:proofErr w:type="gramStart"/>
      <w:r>
        <w:rPr>
          <w:rFonts w:ascii="Times New Roman" w:eastAsia="Times New Roman" w:hAnsi="Times New Roman" w:cs="Times New Roman"/>
          <w:sz w:val="20"/>
          <w:szCs w:val="20"/>
        </w:rPr>
        <w:t>also</w:t>
      </w:r>
      <w:proofErr w:type="gramEnd"/>
      <w:r>
        <w:rPr>
          <w:rFonts w:ascii="Times New Roman" w:eastAsia="Times New Roman" w:hAnsi="Times New Roman" w:cs="Times New Roman"/>
          <w:sz w:val="20"/>
          <w:szCs w:val="20"/>
        </w:rPr>
        <w:t xml:space="preserve"> it really has an incommunicable being, otherwise it could not be a positive supposit in real being. And I </w:t>
      </w:r>
      <w:proofErr w:type="gramStart"/>
      <w:r>
        <w:rPr>
          <w:rFonts w:ascii="Times New Roman" w:eastAsia="Times New Roman" w:hAnsi="Times New Roman" w:cs="Times New Roman"/>
          <w:sz w:val="20"/>
          <w:szCs w:val="20"/>
        </w:rPr>
        <w:t>understand ‘really’ thus,</w:t>
      </w:r>
      <w:proofErr w:type="gramEnd"/>
      <w:r>
        <w:rPr>
          <w:rFonts w:ascii="Times New Roman" w:eastAsia="Times New Roman" w:hAnsi="Times New Roman" w:cs="Times New Roman"/>
          <w:sz w:val="20"/>
          <w:szCs w:val="20"/>
        </w:rPr>
        <w:t xml:space="preserve"> that which is in no way by an act of an intellect considering it, nay that which would be a being of this sort there if no intellect were considering it; and to be in this way there if no intellect were considering it I call ‘existing before every act of intellect’. – But it is not the case that some entity before every act of intellect, such that it is not by an act of intellect, is communicable and that another entity is of itself incommunicable, unless there is before every act of intellect, that is, not precisely through an act of understanding, some distinction between this entity and that; therefore etc.”  Scotus Ordinatio </w:t>
      </w:r>
      <w:proofErr w:type="spellStart"/>
      <w:r>
        <w:rPr>
          <w:rFonts w:ascii="Times New Roman" w:eastAsia="Times New Roman" w:hAnsi="Times New Roman" w:cs="Times New Roman"/>
          <w:sz w:val="20"/>
          <w:szCs w:val="20"/>
        </w:rPr>
        <w:t>I d</w:t>
      </w:r>
      <w:proofErr w:type="spellEnd"/>
      <w:r>
        <w:rPr>
          <w:rFonts w:ascii="Times New Roman" w:eastAsia="Times New Roman" w:hAnsi="Times New Roman" w:cs="Times New Roman"/>
          <w:sz w:val="20"/>
          <w:szCs w:val="20"/>
        </w:rPr>
        <w:t xml:space="preserve">. II, p. II. q. 1 n. 389-390 (Translation by Simpson). Some version of this argument is repeated by every </w:t>
      </w:r>
      <w:proofErr w:type="spellStart"/>
      <w:r>
        <w:rPr>
          <w:rFonts w:ascii="Times New Roman" w:eastAsia="Times New Roman" w:hAnsi="Times New Roman" w:cs="Times New Roman"/>
          <w:sz w:val="20"/>
          <w:szCs w:val="20"/>
        </w:rPr>
        <w:t>Scotist</w:t>
      </w:r>
      <w:proofErr w:type="spellEnd"/>
      <w:r>
        <w:rPr>
          <w:rFonts w:ascii="Times New Roman" w:eastAsia="Times New Roman" w:hAnsi="Times New Roman" w:cs="Times New Roman"/>
          <w:sz w:val="20"/>
          <w:szCs w:val="20"/>
        </w:rPr>
        <w:t xml:space="preserve"> we have consulted; see, e.g., Mastri </w:t>
      </w:r>
      <w:r>
        <w:rPr>
          <w:rFonts w:ascii="Times New Roman" w:eastAsia="Times New Roman" w:hAnsi="Times New Roman" w:cs="Times New Roman"/>
          <w:i/>
          <w:sz w:val="20"/>
          <w:szCs w:val="20"/>
        </w:rPr>
        <w:t xml:space="preserve">Disputationes </w:t>
      </w:r>
      <w:proofErr w:type="spellStart"/>
      <w:r>
        <w:rPr>
          <w:rFonts w:ascii="Times New Roman" w:eastAsia="Times New Roman" w:hAnsi="Times New Roman" w:cs="Times New Roman"/>
          <w:i/>
          <w:sz w:val="20"/>
          <w:szCs w:val="20"/>
        </w:rPr>
        <w:t>Theologicae</w:t>
      </w:r>
      <w:proofErr w:type="spellEnd"/>
      <w:r>
        <w:rPr>
          <w:rFonts w:ascii="Times New Roman" w:eastAsia="Times New Roman" w:hAnsi="Times New Roman" w:cs="Times New Roman"/>
          <w:sz w:val="20"/>
          <w:szCs w:val="20"/>
        </w:rPr>
        <w:t xml:space="preserve"> d. 2 q. 2 a. 2 p. 15 n. 20-21.</w:t>
      </w:r>
    </w:p>
  </w:footnote>
  <w:footnote w:id="36">
    <w:p w14:paraId="0000010B"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It was frequently discussed in philosophical textbooks (Cursus </w:t>
      </w:r>
      <w:proofErr w:type="spellStart"/>
      <w:r>
        <w:rPr>
          <w:rFonts w:ascii="Times New Roman" w:eastAsia="Times New Roman" w:hAnsi="Times New Roman" w:cs="Times New Roman"/>
          <w:sz w:val="20"/>
          <w:szCs w:val="20"/>
        </w:rPr>
        <w:t>Philosophici</w:t>
      </w:r>
      <w:proofErr w:type="spellEnd"/>
      <w:r>
        <w:rPr>
          <w:rFonts w:ascii="Times New Roman" w:eastAsia="Times New Roman" w:hAnsi="Times New Roman" w:cs="Times New Roman"/>
          <w:sz w:val="20"/>
          <w:szCs w:val="20"/>
        </w:rPr>
        <w:t>)–which were the main genre of early modern scholastic philosophy–in the section on distinctions. A handful are cited in what follows.</w:t>
      </w:r>
    </w:p>
  </w:footnote>
  <w:footnote w:id="37">
    <w:p w14:paraId="0000010A"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Scotus himself, for example, offers many purely philosophical arguments for the Trinity, even though none rise to the level of a strict demonstration (Ordinatio </w:t>
      </w:r>
      <w:proofErr w:type="spellStart"/>
      <w:r>
        <w:rPr>
          <w:rFonts w:ascii="Times New Roman" w:eastAsia="Times New Roman" w:hAnsi="Times New Roman" w:cs="Times New Roman"/>
          <w:sz w:val="20"/>
          <w:szCs w:val="20"/>
        </w:rPr>
        <w:t>I d</w:t>
      </w:r>
      <w:proofErr w:type="spellEnd"/>
      <w:r>
        <w:rPr>
          <w:rFonts w:ascii="Times New Roman" w:eastAsia="Times New Roman" w:hAnsi="Times New Roman" w:cs="Times New Roman"/>
          <w:sz w:val="20"/>
          <w:szCs w:val="20"/>
        </w:rPr>
        <w:t xml:space="preserve">. 2 p. 2 q. 1-4). </w:t>
      </w:r>
    </w:p>
  </w:footnote>
  <w:footnote w:id="38">
    <w:p w14:paraId="000000BC"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Mezger </w:t>
      </w:r>
      <w:proofErr w:type="spellStart"/>
      <w:r>
        <w:rPr>
          <w:rFonts w:ascii="Times New Roman" w:eastAsia="Times New Roman" w:hAnsi="Times New Roman" w:cs="Times New Roman"/>
          <w:i/>
          <w:sz w:val="20"/>
          <w:szCs w:val="20"/>
        </w:rPr>
        <w:t>Theologia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Salsburgensis</w:t>
      </w:r>
      <w:proofErr w:type="spellEnd"/>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 xml:space="preserve">tract. I, d. IV, a. II n. 1, p. 45. “Resp. neg. Min. </w:t>
      </w:r>
      <w:proofErr w:type="spellStart"/>
      <w:r>
        <w:rPr>
          <w:rFonts w:ascii="Times New Roman" w:eastAsia="Times New Roman" w:hAnsi="Times New Roman" w:cs="Times New Roman"/>
          <w:sz w:val="20"/>
          <w:szCs w:val="20"/>
        </w:rPr>
        <w:t>nam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actu</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parte</w:t>
      </w:r>
      <w:proofErr w:type="spellEnd"/>
      <w:r>
        <w:rPr>
          <w:rFonts w:ascii="Times New Roman" w:eastAsia="Times New Roman" w:hAnsi="Times New Roman" w:cs="Times New Roman"/>
          <w:sz w:val="20"/>
          <w:szCs w:val="20"/>
        </w:rPr>
        <w:t xml:space="preserve"> rei </w:t>
      </w:r>
      <w:proofErr w:type="spellStart"/>
      <w:r>
        <w:rPr>
          <w:rFonts w:ascii="Times New Roman" w:eastAsia="Times New Roman" w:hAnsi="Times New Roman" w:cs="Times New Roman"/>
          <w:sz w:val="20"/>
          <w:szCs w:val="20"/>
        </w:rPr>
        <w:t>priusquam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noster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intellectus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praecisivo</w:t>
      </w:r>
      <w:proofErr w:type="spellEnd"/>
      <w:r>
        <w:rPr>
          <w:rFonts w:ascii="Times New Roman" w:eastAsia="Times New Roman" w:hAnsi="Times New Roman" w:cs="Times New Roman"/>
          <w:sz w:val="20"/>
          <w:szCs w:val="20"/>
        </w:rPr>
        <w:t xml:space="preserve"> et </w:t>
      </w:r>
      <w:proofErr w:type="spellStart"/>
      <w:r>
        <w:rPr>
          <w:rFonts w:ascii="Times New Roman" w:eastAsia="Times New Roman" w:hAnsi="Times New Roman" w:cs="Times New Roman"/>
          <w:sz w:val="20"/>
          <w:szCs w:val="20"/>
        </w:rPr>
        <w:t>inadaequato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conceptu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idstinctionem</w:t>
      </w:r>
      <w:proofErr w:type="spellEnd"/>
      <w:r>
        <w:rPr>
          <w:rFonts w:ascii="Times New Roman" w:eastAsia="Times New Roman" w:hAnsi="Times New Roman" w:cs="Times New Roman"/>
          <w:sz w:val="20"/>
          <w:szCs w:val="20"/>
        </w:rPr>
        <w:t xml:space="preserve"> format inter </w:t>
      </w:r>
      <w:proofErr w:type="spellStart"/>
      <w:r>
        <w:rPr>
          <w:rFonts w:ascii="Times New Roman" w:eastAsia="Times New Roman" w:hAnsi="Times New Roman" w:cs="Times New Roman"/>
          <w:sz w:val="20"/>
          <w:szCs w:val="20"/>
        </w:rPr>
        <w:t>essentiam</w:t>
      </w:r>
      <w:proofErr w:type="spellEnd"/>
      <w:r>
        <w:rPr>
          <w:rFonts w:ascii="Times New Roman" w:eastAsia="Times New Roman" w:hAnsi="Times New Roman" w:cs="Times New Roman"/>
          <w:sz w:val="20"/>
          <w:szCs w:val="20"/>
        </w:rPr>
        <w:t xml:space="preserve"> et </w:t>
      </w:r>
      <w:proofErr w:type="spellStart"/>
      <w:r>
        <w:rPr>
          <w:rFonts w:ascii="Times New Roman" w:eastAsia="Times New Roman" w:hAnsi="Times New Roman" w:cs="Times New Roman"/>
          <w:sz w:val="20"/>
          <w:szCs w:val="20"/>
        </w:rPr>
        <w:t>personalitates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datur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quidem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fundamentu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reale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ispius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contradictionis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quod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divina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essentia</w:t>
      </w:r>
      <w:proofErr w:type="spellEnd"/>
      <w:r>
        <w:rPr>
          <w:rFonts w:ascii="Times New Roman" w:eastAsia="Times New Roman" w:hAnsi="Times New Roman" w:cs="Times New Roman"/>
          <w:sz w:val="20"/>
          <w:szCs w:val="20"/>
        </w:rPr>
        <w:t xml:space="preserve">, quatenus </w:t>
      </w:r>
      <w:proofErr w:type="spellStart"/>
      <w:r>
        <w:rPr>
          <w:rFonts w:ascii="Times New Roman" w:eastAsia="Times New Roman" w:hAnsi="Times New Roman" w:cs="Times New Roman"/>
          <w:sz w:val="20"/>
          <w:szCs w:val="20"/>
        </w:rPr>
        <w:t>continens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absolutam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perfectionem</w:t>
      </w:r>
      <w:proofErr w:type="spellEnd"/>
      <w:r>
        <w:rPr>
          <w:rFonts w:ascii="Times New Roman" w:eastAsia="Times New Roman" w:hAnsi="Times New Roman" w:cs="Times New Roman"/>
          <w:sz w:val="20"/>
          <w:szCs w:val="20"/>
        </w:rPr>
        <w:t xml:space="preserve"> naturae se communicans, et quatenus </w:t>
      </w:r>
      <w:proofErr w:type="spellStart"/>
      <w:r>
        <w:rPr>
          <w:rFonts w:ascii="Times New Roman" w:eastAsia="Times New Roman" w:hAnsi="Times New Roman" w:cs="Times New Roman"/>
          <w:sz w:val="20"/>
          <w:szCs w:val="20"/>
        </w:rPr>
        <w:t>continens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formam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relativam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paternitatis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filium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respeciens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eumque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producens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nondum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tamen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datur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negatio</w:t>
      </w:r>
      <w:proofErr w:type="spellEnd"/>
      <w:r>
        <w:rPr>
          <w:rFonts w:ascii="Times New Roman" w:eastAsia="Times New Roman" w:hAnsi="Times New Roman" w:cs="Times New Roman"/>
          <w:sz w:val="20"/>
          <w:szCs w:val="20"/>
        </w:rPr>
        <w:t xml:space="preserve"> non </w:t>
      </w:r>
      <w:proofErr w:type="spellStart"/>
      <w:r>
        <w:rPr>
          <w:rFonts w:ascii="Times New Roman" w:eastAsia="Times New Roman" w:hAnsi="Times New Roman" w:cs="Times New Roman"/>
          <w:sz w:val="20"/>
          <w:szCs w:val="20"/>
        </w:rPr>
        <w:t>productionis</w:t>
      </w:r>
      <w:proofErr w:type="spellEnd"/>
      <w:r>
        <w:rPr>
          <w:rFonts w:ascii="Times New Roman" w:eastAsia="Times New Roman" w:hAnsi="Times New Roman" w:cs="Times New Roman"/>
          <w:sz w:val="20"/>
          <w:szCs w:val="20"/>
        </w:rPr>
        <w:t xml:space="preserve">, non </w:t>
      </w:r>
      <w:proofErr w:type="spellStart"/>
      <w:r>
        <w:rPr>
          <w:rFonts w:ascii="Times New Roman" w:eastAsia="Times New Roman" w:hAnsi="Times New Roman" w:cs="Times New Roman"/>
          <w:sz w:val="20"/>
          <w:szCs w:val="20"/>
        </w:rPr>
        <w:t>communicationis</w:t>
      </w:r>
      <w:proofErr w:type="spellEnd"/>
      <w:r>
        <w:rPr>
          <w:rFonts w:ascii="Times New Roman" w:eastAsia="Times New Roman" w:hAnsi="Times New Roman" w:cs="Times New Roman"/>
          <w:sz w:val="20"/>
          <w:szCs w:val="20"/>
        </w:rPr>
        <w:t xml:space="preserve">: haec </w:t>
      </w:r>
      <w:proofErr w:type="spellStart"/>
      <w:r>
        <w:rPr>
          <w:rFonts w:ascii="Times New Roman" w:eastAsia="Times New Roman" w:hAnsi="Times New Roman" w:cs="Times New Roman"/>
          <w:sz w:val="20"/>
          <w:szCs w:val="20"/>
        </w:rPr>
        <w:t>quippe</w:t>
      </w:r>
      <w:proofErr w:type="spellEnd"/>
      <w:r>
        <w:rPr>
          <w:rFonts w:ascii="Times New Roman" w:eastAsia="Times New Roman" w:hAnsi="Times New Roman" w:cs="Times New Roman"/>
          <w:sz w:val="20"/>
          <w:szCs w:val="20"/>
        </w:rPr>
        <w:t xml:space="preserve"> primum </w:t>
      </w:r>
      <w:proofErr w:type="spellStart"/>
      <w:r>
        <w:rPr>
          <w:rFonts w:ascii="Times New Roman" w:eastAsia="Times New Roman" w:hAnsi="Times New Roman" w:cs="Times New Roman"/>
          <w:sz w:val="20"/>
          <w:szCs w:val="20"/>
        </w:rPr>
        <w:t>superadditur</w:t>
      </w:r>
      <w:proofErr w:type="spellEnd"/>
      <w:r>
        <w:rPr>
          <w:rFonts w:ascii="Times New Roman" w:eastAsia="Times New Roman" w:hAnsi="Times New Roman" w:cs="Times New Roman"/>
          <w:sz w:val="20"/>
          <w:szCs w:val="20"/>
        </w:rPr>
        <w:t xml:space="preserve"> ab </w:t>
      </w:r>
      <w:proofErr w:type="spellStart"/>
      <w:r>
        <w:rPr>
          <w:rFonts w:ascii="Times New Roman" w:eastAsia="Times New Roman" w:hAnsi="Times New Roman" w:cs="Times New Roman"/>
          <w:sz w:val="20"/>
          <w:szCs w:val="20"/>
        </w:rPr>
        <w:t>intellectu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creato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unuam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rationem</w:t>
      </w:r>
      <w:proofErr w:type="spellEnd"/>
      <w:r>
        <w:rPr>
          <w:rFonts w:ascii="Times New Roman" w:eastAsia="Times New Roman" w:hAnsi="Times New Roman" w:cs="Times New Roman"/>
          <w:sz w:val="20"/>
          <w:szCs w:val="20"/>
        </w:rPr>
        <w:t xml:space="preserve"> ab altera </w:t>
      </w:r>
      <w:proofErr w:type="spellStart"/>
      <w:r>
        <w:rPr>
          <w:rFonts w:ascii="Times New Roman" w:eastAsia="Times New Roman" w:hAnsi="Times New Roman" w:cs="Times New Roman"/>
          <w:sz w:val="20"/>
          <w:szCs w:val="20"/>
        </w:rPr>
        <w:t>praescindente</w:t>
      </w:r>
      <w:proofErr w:type="spellEnd"/>
      <w:r>
        <w:rPr>
          <w:rFonts w:ascii="Times New Roman" w:eastAsia="Times New Roman" w:hAnsi="Times New Roman" w:cs="Times New Roman"/>
          <w:sz w:val="20"/>
          <w:szCs w:val="20"/>
        </w:rPr>
        <w:t xml:space="preserve">, et </w:t>
      </w:r>
      <w:proofErr w:type="spellStart"/>
      <w:r>
        <w:rPr>
          <w:rFonts w:ascii="Times New Roman" w:eastAsia="Times New Roman" w:hAnsi="Times New Roman" w:cs="Times New Roman"/>
          <w:sz w:val="20"/>
          <w:szCs w:val="20"/>
        </w:rPr>
        <w:t>mutuo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opponenete</w:t>
      </w:r>
      <w:proofErr w:type="spellEnd"/>
      <w:r>
        <w:rPr>
          <w:rFonts w:ascii="Times New Roman" w:eastAsia="Times New Roman" w:hAnsi="Times New Roman" w:cs="Times New Roman"/>
          <w:sz w:val="20"/>
          <w:szCs w:val="20"/>
        </w:rPr>
        <w:t xml:space="preserve">.” For ease of </w:t>
      </w:r>
      <w:proofErr w:type="gramStart"/>
      <w:r>
        <w:rPr>
          <w:rFonts w:ascii="Times New Roman" w:eastAsia="Times New Roman" w:hAnsi="Times New Roman" w:cs="Times New Roman"/>
          <w:sz w:val="20"/>
          <w:szCs w:val="20"/>
        </w:rPr>
        <w:t>reference</w:t>
      </w:r>
      <w:proofErr w:type="gramEnd"/>
      <w:r>
        <w:rPr>
          <w:rFonts w:ascii="Times New Roman" w:eastAsia="Times New Roman" w:hAnsi="Times New Roman" w:cs="Times New Roman"/>
          <w:sz w:val="20"/>
          <w:szCs w:val="20"/>
        </w:rPr>
        <w:t xml:space="preserve"> we have numbered the sentences.</w:t>
      </w:r>
    </w:p>
  </w:footnote>
  <w:footnote w:id="39">
    <w:p w14:paraId="000000FC"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That is, of the essence being communicable and paternity being incommunicable, posterior to some act of the intellect.</w:t>
      </w:r>
    </w:p>
  </w:footnote>
  <w:footnote w:id="40">
    <w:p w14:paraId="000000FD"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Precisively</w:t>
      </w:r>
      <w:proofErr w:type="spellEnd"/>
      <w:r>
        <w:rPr>
          <w:rFonts w:ascii="Times New Roman" w:eastAsia="Times New Roman" w:hAnsi="Times New Roman" w:cs="Times New Roman"/>
          <w:sz w:val="20"/>
          <w:szCs w:val="20"/>
        </w:rPr>
        <w:t xml:space="preserve">,” because neither concept is contained in the other, and “inadequately” because </w:t>
      </w:r>
      <w:proofErr w:type="gramStart"/>
      <w:r>
        <w:rPr>
          <w:rFonts w:ascii="Times New Roman" w:eastAsia="Times New Roman" w:hAnsi="Times New Roman" w:cs="Times New Roman"/>
          <w:sz w:val="20"/>
          <w:szCs w:val="20"/>
        </w:rPr>
        <w:t>in reality there</w:t>
      </w:r>
      <w:proofErr w:type="gramEnd"/>
      <w:r>
        <w:rPr>
          <w:rFonts w:ascii="Times New Roman" w:eastAsia="Times New Roman" w:hAnsi="Times New Roman" w:cs="Times New Roman"/>
          <w:sz w:val="20"/>
          <w:szCs w:val="20"/>
        </w:rPr>
        <w:t xml:space="preserve"> is just one thing there, not two.</w:t>
      </w:r>
    </w:p>
  </w:footnote>
  <w:footnote w:id="41">
    <w:p w14:paraId="000000E9"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incommunicability is thus “superadded.” This is confirmed, since (v) under intuitive cognition, there are no contradictory properties (intuitive cognition is a kind of cognition of a thing as it is in itself–there are no conceptual distinctions drawn when cognizing with intuitive cognition).</w:t>
      </w:r>
    </w:p>
  </w:footnote>
  <w:footnote w:id="42">
    <w:p w14:paraId="000000EF"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 related response maintains that prior to any act of the intellect there are only distinct Trinitarian persons and there aren’t any personal properties at all (a view rejected by Aquinas in </w:t>
      </w:r>
      <w:r>
        <w:rPr>
          <w:rFonts w:ascii="Times New Roman" w:eastAsia="Times New Roman" w:hAnsi="Times New Roman" w:cs="Times New Roman"/>
          <w:i/>
          <w:sz w:val="20"/>
          <w:szCs w:val="20"/>
        </w:rPr>
        <w:t>Summa Theologica</w:t>
      </w:r>
      <w:r>
        <w:rPr>
          <w:rFonts w:ascii="Times New Roman" w:eastAsia="Times New Roman" w:hAnsi="Times New Roman" w:cs="Times New Roman"/>
          <w:sz w:val="20"/>
          <w:szCs w:val="20"/>
        </w:rPr>
        <w:t xml:space="preserve"> I q. 28 a. 1). It is difficult to know how to develop this response, since there are diverse ways of reasoning about non-being; for </w:t>
      </w:r>
      <w:proofErr w:type="gramStart"/>
      <w:r>
        <w:rPr>
          <w:rFonts w:ascii="Times New Roman" w:eastAsia="Times New Roman" w:hAnsi="Times New Roman" w:cs="Times New Roman"/>
          <w:sz w:val="20"/>
          <w:szCs w:val="20"/>
        </w:rPr>
        <w:t>example</w:t>
      </w:r>
      <w:proofErr w:type="gramEnd"/>
      <w:r>
        <w:rPr>
          <w:rFonts w:ascii="Times New Roman" w:eastAsia="Times New Roman" w:hAnsi="Times New Roman" w:cs="Times New Roman"/>
          <w:sz w:val="20"/>
          <w:szCs w:val="20"/>
        </w:rPr>
        <w:t xml:space="preserve"> if there is no such thing as Paternity, is it for that very reason incommunicable, since only what exists can be communicated? In any case, this response to the Achilles is also a non-starter. Besides the questionable orthodoxy of denying that there are personal properties and the metaphysical </w:t>
      </w:r>
      <w:proofErr w:type="spellStart"/>
      <w:r>
        <w:rPr>
          <w:rFonts w:ascii="Times New Roman" w:eastAsia="Times New Roman" w:hAnsi="Times New Roman" w:cs="Times New Roman"/>
          <w:sz w:val="20"/>
          <w:szCs w:val="20"/>
        </w:rPr>
        <w:t>uncomfortability</w:t>
      </w:r>
      <w:proofErr w:type="spellEnd"/>
      <w:r>
        <w:rPr>
          <w:rFonts w:ascii="Times New Roman" w:eastAsia="Times New Roman" w:hAnsi="Times New Roman" w:cs="Times New Roman"/>
          <w:sz w:val="20"/>
          <w:szCs w:val="20"/>
        </w:rPr>
        <w:t xml:space="preserve"> of maintaining that the persons are distinct but not distinguished </w:t>
      </w:r>
      <w:r>
        <w:rPr>
          <w:rFonts w:ascii="Times New Roman" w:eastAsia="Times New Roman" w:hAnsi="Times New Roman" w:cs="Times New Roman"/>
          <w:i/>
          <w:sz w:val="20"/>
          <w:szCs w:val="20"/>
        </w:rPr>
        <w:t>by</w:t>
      </w:r>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anything,  a</w:t>
      </w:r>
      <w:proofErr w:type="gramEnd"/>
      <w:r>
        <w:rPr>
          <w:rFonts w:ascii="Times New Roman" w:eastAsia="Times New Roman" w:hAnsi="Times New Roman" w:cs="Times New Roman"/>
          <w:sz w:val="20"/>
          <w:szCs w:val="20"/>
        </w:rPr>
        <w:t xml:space="preserve"> slightly modified version of the Achilles is available that makes no reference to the personal properties.</w:t>
      </w:r>
    </w:p>
    <w:p w14:paraId="000000F0" w14:textId="77777777" w:rsidR="008D1538" w:rsidRDefault="00000000">
      <w:pPr>
        <w:numPr>
          <w:ilvl w:val="0"/>
          <w:numId w:val="10"/>
        </w:numPr>
        <w:spacing w:before="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If, </w:t>
      </w:r>
      <w:r>
        <w:rPr>
          <w:rFonts w:ascii="Times New Roman" w:eastAsia="Times New Roman" w:hAnsi="Times New Roman" w:cs="Times New Roman"/>
          <w:i/>
          <w:sz w:val="20"/>
          <w:szCs w:val="20"/>
        </w:rPr>
        <w:t>prior to any act of the intellect</w:t>
      </w:r>
      <w:r>
        <w:rPr>
          <w:rFonts w:ascii="Times New Roman" w:eastAsia="Times New Roman" w:hAnsi="Times New Roman" w:cs="Times New Roman"/>
          <w:sz w:val="20"/>
          <w:szCs w:val="20"/>
        </w:rPr>
        <w:t xml:space="preserve">, x is communicable and y is incommunicable, then x and y are distinct </w:t>
      </w:r>
      <w:r>
        <w:rPr>
          <w:rFonts w:ascii="Times New Roman" w:eastAsia="Times New Roman" w:hAnsi="Times New Roman" w:cs="Times New Roman"/>
          <w:i/>
          <w:sz w:val="20"/>
          <w:szCs w:val="20"/>
        </w:rPr>
        <w:t>prior to any act of the intellect</w:t>
      </w:r>
      <w:r>
        <w:rPr>
          <w:rFonts w:ascii="Times New Roman" w:eastAsia="Times New Roman" w:hAnsi="Times New Roman" w:cs="Times New Roman"/>
          <w:sz w:val="20"/>
          <w:szCs w:val="20"/>
        </w:rPr>
        <w:t>.</w:t>
      </w:r>
    </w:p>
    <w:p w14:paraId="000000F1" w14:textId="77777777" w:rsidR="008D1538" w:rsidRDefault="00000000">
      <w:pPr>
        <w:numPr>
          <w:ilvl w:val="0"/>
          <w:numId w:val="10"/>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i/>
          <w:sz w:val="20"/>
          <w:szCs w:val="20"/>
        </w:rPr>
        <w:t>Prior to any act of the intellect</w:t>
      </w:r>
      <w:r>
        <w:rPr>
          <w:rFonts w:ascii="Times New Roman" w:eastAsia="Times New Roman" w:hAnsi="Times New Roman" w:cs="Times New Roman"/>
          <w:sz w:val="20"/>
          <w:szCs w:val="20"/>
        </w:rPr>
        <w:t xml:space="preserve">, the divine essence is communicable and the </w:t>
      </w:r>
      <w:proofErr w:type="gramStart"/>
      <w:r>
        <w:rPr>
          <w:rFonts w:ascii="Times New Roman" w:eastAsia="Times New Roman" w:hAnsi="Times New Roman" w:cs="Times New Roman"/>
          <w:sz w:val="20"/>
          <w:szCs w:val="20"/>
        </w:rPr>
        <w:t>Father</w:t>
      </w:r>
      <w:proofErr w:type="gramEnd"/>
      <w:r>
        <w:rPr>
          <w:rFonts w:ascii="Times New Roman" w:eastAsia="Times New Roman" w:hAnsi="Times New Roman" w:cs="Times New Roman"/>
          <w:sz w:val="20"/>
          <w:szCs w:val="20"/>
        </w:rPr>
        <w:t xml:space="preserve"> is incommunicable.</w:t>
      </w:r>
    </w:p>
    <w:p w14:paraId="000000F2" w14:textId="77777777" w:rsidR="008D1538" w:rsidRDefault="00000000">
      <w:pPr>
        <w:numPr>
          <w:ilvl w:val="0"/>
          <w:numId w:val="10"/>
        </w:numPr>
        <w:spacing w:after="20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Therefore, the divine essence and the </w:t>
      </w:r>
      <w:proofErr w:type="gramStart"/>
      <w:r>
        <w:rPr>
          <w:rFonts w:ascii="Times New Roman" w:eastAsia="Times New Roman" w:hAnsi="Times New Roman" w:cs="Times New Roman"/>
          <w:sz w:val="20"/>
          <w:szCs w:val="20"/>
        </w:rPr>
        <w:t>Father</w:t>
      </w:r>
      <w:proofErr w:type="gramEnd"/>
      <w:r>
        <w:rPr>
          <w:rFonts w:ascii="Times New Roman" w:eastAsia="Times New Roman" w:hAnsi="Times New Roman" w:cs="Times New Roman"/>
          <w:sz w:val="20"/>
          <w:szCs w:val="20"/>
        </w:rPr>
        <w:t xml:space="preserve"> are distinct</w:t>
      </w:r>
      <w:r>
        <w:rPr>
          <w:rFonts w:ascii="Times New Roman" w:eastAsia="Times New Roman" w:hAnsi="Times New Roman" w:cs="Times New Roman"/>
          <w:i/>
          <w:sz w:val="20"/>
          <w:szCs w:val="20"/>
        </w:rPr>
        <w:t xml:space="preserve"> prior to any act of the intellect</w:t>
      </w:r>
      <w:r>
        <w:rPr>
          <w:rFonts w:ascii="Times New Roman" w:eastAsia="Times New Roman" w:hAnsi="Times New Roman" w:cs="Times New Roman"/>
          <w:sz w:val="20"/>
          <w:szCs w:val="20"/>
        </w:rPr>
        <w:t>.</w:t>
      </w:r>
    </w:p>
  </w:footnote>
  <w:footnote w:id="43">
    <w:p w14:paraId="000000DF" w14:textId="77777777" w:rsidR="008D1538" w:rsidRDefault="00000000">
      <w:pPr>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What we mean by this can be spelled out </w:t>
      </w:r>
      <w:proofErr w:type="spellStart"/>
      <w:r>
        <w:rPr>
          <w:rFonts w:ascii="Times New Roman" w:eastAsia="Times New Roman" w:hAnsi="Times New Roman" w:cs="Times New Roman"/>
          <w:sz w:val="20"/>
          <w:szCs w:val="20"/>
        </w:rPr>
        <w:t>stipulatively</w:t>
      </w:r>
      <w:proofErr w:type="spellEnd"/>
      <w:r>
        <w:rPr>
          <w:rFonts w:ascii="Times New Roman" w:eastAsia="Times New Roman" w:hAnsi="Times New Roman" w:cs="Times New Roman"/>
          <w:sz w:val="20"/>
          <w:szCs w:val="20"/>
        </w:rPr>
        <w:t xml:space="preserve"> as follows:</w:t>
      </w:r>
    </w:p>
    <w:p w14:paraId="000000E0" w14:textId="77777777" w:rsidR="008D1538" w:rsidRDefault="00000000">
      <w:pPr>
        <w:spacing w:before="200" w:after="200"/>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It is contradictory to be F and G =</w:t>
      </w:r>
      <w:proofErr w:type="spellStart"/>
      <w:r>
        <w:rPr>
          <w:rFonts w:ascii="Times New Roman" w:eastAsia="Times New Roman" w:hAnsi="Times New Roman" w:cs="Times New Roman"/>
          <w:sz w:val="20"/>
          <w:szCs w:val="20"/>
        </w:rPr>
        <w:t>df</w:t>
      </w:r>
      <w:proofErr w:type="spellEnd"/>
      <w:r>
        <w:rPr>
          <w:rFonts w:ascii="Times New Roman" w:eastAsia="Times New Roman" w:hAnsi="Times New Roman" w:cs="Times New Roman"/>
          <w:sz w:val="20"/>
          <w:szCs w:val="20"/>
        </w:rPr>
        <w:t xml:space="preserve"> (a) to be F just is to not be G; (b) to be G just is to not be F.  </w:t>
      </w:r>
    </w:p>
    <w:p w14:paraId="000000E1" w14:textId="77777777" w:rsidR="008D1538"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For example, it is contradictory to be married and unmarried, since to be married just is not to be unmarried and to be unmarried just is not to be married. In the present context, we can afford to make the strong assumption that to be F just is to be G only if being F and being G are (</w:t>
      </w:r>
      <w:proofErr w:type="gramStart"/>
      <w:r>
        <w:rPr>
          <w:rFonts w:ascii="Times New Roman" w:eastAsia="Times New Roman" w:hAnsi="Times New Roman" w:cs="Times New Roman"/>
          <w:sz w:val="20"/>
          <w:szCs w:val="20"/>
        </w:rPr>
        <w:t>higher-order</w:t>
      </w:r>
      <w:proofErr w:type="gramEnd"/>
      <w:r>
        <w:rPr>
          <w:rFonts w:ascii="Times New Roman" w:eastAsia="Times New Roman" w:hAnsi="Times New Roman" w:cs="Times New Roman"/>
          <w:sz w:val="20"/>
          <w:szCs w:val="20"/>
        </w:rPr>
        <w:t>) indiscernible, in line with the influential proposal outlined in Dorr (2016).</w:t>
      </w:r>
    </w:p>
  </w:footnote>
  <w:footnote w:id="44">
    <w:p w14:paraId="0000010C" w14:textId="77777777" w:rsidR="008D1538" w:rsidRDefault="00000000">
      <w:pPr>
        <w:spacing w:line="240" w:lineRule="auto"/>
        <w:rPr>
          <w:sz w:val="20"/>
          <w:szCs w:val="20"/>
        </w:rPr>
      </w:pPr>
      <w:r>
        <w:rPr>
          <w:vertAlign w:val="superscript"/>
        </w:rPr>
        <w:footnoteRef/>
      </w:r>
      <w:r>
        <w:rPr>
          <w:sz w:val="20"/>
          <w:szCs w:val="20"/>
        </w:rPr>
        <w:t xml:space="preserve"> </w:t>
      </w:r>
      <w:r>
        <w:rPr>
          <w:rFonts w:ascii="Cardo" w:eastAsia="Cardo" w:hAnsi="Cardo" w:cs="Cardo"/>
          <w:sz w:val="20"/>
          <w:szCs w:val="20"/>
        </w:rPr>
        <w:t xml:space="preserve">For most of our purposes, this talk of endorsing instances of a conditional can be understood intuitively. But for reasons that will be more readily appreciable in what follows, some readers may want us to clarify what, for us, endorsing every instance of NC amounts to. One endorses every instance of a conditional ⌜if A then B⌝ just in case one </w:t>
      </w:r>
      <w:r>
        <w:rPr>
          <w:rFonts w:ascii="Times New Roman" w:eastAsia="Times New Roman" w:hAnsi="Times New Roman" w:cs="Times New Roman"/>
          <w:i/>
          <w:sz w:val="20"/>
          <w:szCs w:val="20"/>
        </w:rPr>
        <w:t xml:space="preserve">accepts </w:t>
      </w:r>
      <w:r>
        <w:rPr>
          <w:rFonts w:ascii="Times New Roman" w:eastAsia="Times New Roman" w:hAnsi="Times New Roman" w:cs="Times New Roman"/>
          <w:sz w:val="20"/>
          <w:szCs w:val="20"/>
        </w:rPr>
        <w:t xml:space="preserve">all instances of that conditional and </w:t>
      </w:r>
      <w:r>
        <w:rPr>
          <w:rFonts w:ascii="Times New Roman" w:eastAsia="Times New Roman" w:hAnsi="Times New Roman" w:cs="Times New Roman"/>
          <w:i/>
          <w:sz w:val="20"/>
          <w:szCs w:val="20"/>
        </w:rPr>
        <w:t>rejects</w:t>
      </w:r>
      <w:r>
        <w:rPr>
          <w:rFonts w:ascii="Times New Roman" w:eastAsia="Times New Roman" w:hAnsi="Times New Roman" w:cs="Times New Roman"/>
          <w:sz w:val="20"/>
          <w:szCs w:val="20"/>
        </w:rPr>
        <w:t xml:space="preserve"> all </w:t>
      </w:r>
      <w:r>
        <w:rPr>
          <w:rFonts w:ascii="Times New Roman" w:eastAsia="Times New Roman" w:hAnsi="Times New Roman" w:cs="Times New Roman"/>
          <w:i/>
          <w:sz w:val="20"/>
          <w:szCs w:val="20"/>
        </w:rPr>
        <w:t xml:space="preserve">Boolean counterexamples </w:t>
      </w:r>
      <w:r>
        <w:rPr>
          <w:rFonts w:ascii="Cardo" w:eastAsia="Cardo" w:hAnsi="Cardo" w:cs="Cardo"/>
          <w:sz w:val="20"/>
          <w:szCs w:val="20"/>
        </w:rPr>
        <w:t>to it. Here a Boolean counterexample to ⌜if A then B⌝ is any instance of the corresponding conjunction ⌜A and not-B</w:t>
      </w:r>
      <w:proofErr w:type="gramStart"/>
      <w:r>
        <w:rPr>
          <w:rFonts w:ascii="Cardo" w:eastAsia="Cardo" w:hAnsi="Cardo" w:cs="Cardo"/>
          <w:sz w:val="20"/>
          <w:szCs w:val="20"/>
        </w:rPr>
        <w:t>⌝.(</w:t>
      </w:r>
      <w:proofErr w:type="gramEnd"/>
      <w:r>
        <w:rPr>
          <w:rFonts w:ascii="Cardo" w:eastAsia="Cardo" w:hAnsi="Cardo" w:cs="Cardo"/>
          <w:sz w:val="20"/>
          <w:szCs w:val="20"/>
        </w:rPr>
        <w:t xml:space="preserve">⌜ not-B⌝ expresses the (logical) negation of B.) In the obvious way, an instance of NC will be any uniform substitution of singular terms for ‘x’ and ‘y’ and predicates for ‘F’ and ‘G’ in NC, and similarly, </w:t>
      </w:r>
      <w:r>
        <w:rPr>
          <w:rFonts w:ascii="Times New Roman" w:eastAsia="Times New Roman" w:hAnsi="Times New Roman" w:cs="Times New Roman"/>
          <w:i/>
          <w:sz w:val="20"/>
          <w:szCs w:val="20"/>
        </w:rPr>
        <w:t>mutatis mutandis</w:t>
      </w:r>
      <w:r>
        <w:rPr>
          <w:rFonts w:ascii="Times New Roman" w:eastAsia="Times New Roman" w:hAnsi="Times New Roman" w:cs="Times New Roman"/>
          <w:sz w:val="20"/>
          <w:szCs w:val="20"/>
        </w:rPr>
        <w:t>, for instances of the corresponding conjunction. Acceptance and rejection may be understood intuitively, provided we mark the distinction between rejecting</w:t>
      </w:r>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a sentence and accepting</w:t>
      </w:r>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 xml:space="preserve">its negation, an important distinction in contexts where nonclassical logics are being considered–see Priest (2006) and Field (2008) for further discussion.  </w:t>
      </w:r>
    </w:p>
  </w:footnote>
  <w:footnote w:id="45">
    <w:p w14:paraId="000000E8"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For more on reduplication, see John of St. Thomas, </w:t>
      </w:r>
      <w:r>
        <w:rPr>
          <w:rFonts w:ascii="Times New Roman" w:eastAsia="Times New Roman" w:hAnsi="Times New Roman" w:cs="Times New Roman"/>
          <w:i/>
          <w:sz w:val="20"/>
          <w:szCs w:val="20"/>
        </w:rPr>
        <w:t xml:space="preserve">Cursus </w:t>
      </w:r>
      <w:proofErr w:type="spellStart"/>
      <w:r>
        <w:rPr>
          <w:rFonts w:ascii="Times New Roman" w:eastAsia="Times New Roman" w:hAnsi="Times New Roman" w:cs="Times New Roman"/>
          <w:i/>
          <w:sz w:val="20"/>
          <w:szCs w:val="20"/>
        </w:rPr>
        <w:t>Philosophicus</w:t>
      </w:r>
      <w:proofErr w:type="spellEnd"/>
      <w:r>
        <w:rPr>
          <w:rFonts w:ascii="Times New Roman" w:eastAsia="Times New Roman" w:hAnsi="Times New Roman" w:cs="Times New Roman"/>
          <w:sz w:val="20"/>
          <w:szCs w:val="20"/>
        </w:rPr>
        <w:t xml:space="preserve"> Logica bk. II c. 24 p. 24-25 and Alan Bäck (1996). Two brief, helpful discussions of reduplication (both in the context of Christology) are p. 193-205 of Cross (2002)</w:t>
      </w:r>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and Chapter 6 of Pawl (2016)</w:t>
      </w:r>
      <w:r>
        <w:rPr>
          <w:rFonts w:ascii="Times New Roman" w:eastAsia="Times New Roman" w:hAnsi="Times New Roman" w:cs="Times New Roman"/>
          <w:i/>
          <w:sz w:val="20"/>
          <w:szCs w:val="20"/>
        </w:rPr>
        <w:t>.</w:t>
      </w:r>
    </w:p>
  </w:footnote>
  <w:footnote w:id="46">
    <w:p w14:paraId="000000B1" w14:textId="77777777" w:rsidR="008D1538" w:rsidRDefault="00000000">
      <w:pPr>
        <w:spacing w:line="240" w:lineRule="auto"/>
        <w:rPr>
          <w:rFonts w:ascii="Times New Roman" w:eastAsia="Times New Roman" w:hAnsi="Times New Roman" w:cs="Times New Roman"/>
          <w:sz w:val="20"/>
          <w:szCs w:val="20"/>
          <w:highlight w:val="red"/>
        </w:rPr>
      </w:pPr>
      <w:r>
        <w:rPr>
          <w:vertAlign w:val="superscript"/>
        </w:rPr>
        <w:footnoteRef/>
      </w:r>
      <w:r>
        <w:rPr>
          <w:rFonts w:ascii="Times New Roman" w:eastAsia="Times New Roman" w:hAnsi="Times New Roman" w:cs="Times New Roman"/>
          <w:sz w:val="20"/>
          <w:szCs w:val="20"/>
        </w:rPr>
        <w:t xml:space="preserve"> John of St. Thomas </w:t>
      </w:r>
      <w:r>
        <w:rPr>
          <w:rFonts w:ascii="Times New Roman" w:eastAsia="Times New Roman" w:hAnsi="Times New Roman" w:cs="Times New Roman"/>
          <w:i/>
          <w:sz w:val="20"/>
          <w:szCs w:val="20"/>
        </w:rPr>
        <w:t xml:space="preserve">Cursus </w:t>
      </w:r>
      <w:proofErr w:type="spellStart"/>
      <w:r>
        <w:rPr>
          <w:rFonts w:ascii="Times New Roman" w:eastAsia="Times New Roman" w:hAnsi="Times New Roman" w:cs="Times New Roman"/>
          <w:i/>
          <w:sz w:val="20"/>
          <w:szCs w:val="20"/>
        </w:rPr>
        <w:t>Philosophicus</w:t>
      </w:r>
      <w:proofErr w:type="spellEnd"/>
      <w:r>
        <w:rPr>
          <w:rFonts w:ascii="Times New Roman" w:eastAsia="Times New Roman" w:hAnsi="Times New Roman" w:cs="Times New Roman"/>
          <w:sz w:val="20"/>
          <w:szCs w:val="20"/>
        </w:rPr>
        <w:t xml:space="preserve"> Logica q. 2 a. 3 p. 111.</w:t>
      </w:r>
    </w:p>
  </w:footnote>
  <w:footnote w:id="47">
    <w:p w14:paraId="000000B2" w14:textId="77777777" w:rsidR="008D1538" w:rsidRDefault="00000000">
      <w:pPr>
        <w:spacing w:line="240" w:lineRule="auto"/>
        <w:rPr>
          <w:rFonts w:ascii="Times New Roman" w:eastAsia="Times New Roman" w:hAnsi="Times New Roman" w:cs="Times New Roman"/>
          <w:sz w:val="20"/>
          <w:szCs w:val="20"/>
          <w:vertAlign w:val="superscript"/>
        </w:rPr>
      </w:pPr>
      <w:r>
        <w:rPr>
          <w:vertAlign w:val="superscript"/>
        </w:rPr>
        <w:footnoteRef/>
      </w:r>
      <w:r>
        <w:rPr>
          <w:rFonts w:ascii="Times New Roman" w:eastAsia="Times New Roman" w:hAnsi="Times New Roman" w:cs="Times New Roman"/>
          <w:sz w:val="20"/>
          <w:szCs w:val="20"/>
          <w:vertAlign w:val="superscript"/>
        </w:rPr>
        <w:t xml:space="preserve"> </w:t>
      </w:r>
      <w:r>
        <w:rPr>
          <w:rFonts w:ascii="Times New Roman" w:eastAsia="Times New Roman" w:hAnsi="Times New Roman" w:cs="Times New Roman"/>
          <w:sz w:val="20"/>
          <w:szCs w:val="20"/>
        </w:rPr>
        <w:t xml:space="preserve">John of St. Thomas, </w:t>
      </w:r>
      <w:r>
        <w:rPr>
          <w:rFonts w:ascii="Times New Roman" w:eastAsia="Times New Roman" w:hAnsi="Times New Roman" w:cs="Times New Roman"/>
          <w:i/>
          <w:sz w:val="20"/>
          <w:szCs w:val="20"/>
        </w:rPr>
        <w:t xml:space="preserve">Cursus </w:t>
      </w:r>
      <w:proofErr w:type="spellStart"/>
      <w:r>
        <w:rPr>
          <w:rFonts w:ascii="Times New Roman" w:eastAsia="Times New Roman" w:hAnsi="Times New Roman" w:cs="Times New Roman"/>
          <w:i/>
          <w:sz w:val="20"/>
          <w:szCs w:val="20"/>
        </w:rPr>
        <w:t>Theologici</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sz w:val="20"/>
          <w:szCs w:val="20"/>
        </w:rPr>
        <w:t>tomus</w:t>
      </w:r>
      <w:proofErr w:type="spellEnd"/>
      <w:r>
        <w:rPr>
          <w:rFonts w:ascii="Times New Roman" w:eastAsia="Times New Roman" w:hAnsi="Times New Roman" w:cs="Times New Roman"/>
          <w:sz w:val="20"/>
          <w:szCs w:val="20"/>
        </w:rPr>
        <w:t xml:space="preserve"> 1.2, d. XIII a. 1 n. 17 p. 89. “</w:t>
      </w:r>
      <w:proofErr w:type="gramStart"/>
      <w:r>
        <w:rPr>
          <w:rFonts w:ascii="Times New Roman" w:eastAsia="Times New Roman" w:hAnsi="Times New Roman" w:cs="Times New Roman"/>
          <w:sz w:val="20"/>
          <w:szCs w:val="20"/>
        </w:rPr>
        <w:t>sed</w:t>
      </w:r>
      <w:proofErr w:type="gram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eadem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simplicissima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entitas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ob</w:t>
      </w:r>
      <w:proofErr w:type="spellEnd"/>
      <w:r>
        <w:rPr>
          <w:rFonts w:ascii="Times New Roman" w:eastAsia="Times New Roman" w:hAnsi="Times New Roman" w:cs="Times New Roman"/>
          <w:sz w:val="20"/>
          <w:szCs w:val="20"/>
        </w:rPr>
        <w:t xml:space="preserve"> sui </w:t>
      </w:r>
      <w:proofErr w:type="spellStart"/>
      <w:r>
        <w:rPr>
          <w:rFonts w:ascii="Times New Roman" w:eastAsia="Times New Roman" w:hAnsi="Times New Roman" w:cs="Times New Roman"/>
          <w:sz w:val="20"/>
          <w:szCs w:val="20"/>
        </w:rPr>
        <w:t>eminentiam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habet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vicem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plurium</w:t>
      </w:r>
      <w:proofErr w:type="spellEnd"/>
      <w:r>
        <w:rPr>
          <w:rFonts w:ascii="Times New Roman" w:eastAsia="Times New Roman" w:hAnsi="Times New Roman" w:cs="Times New Roman"/>
          <w:sz w:val="20"/>
          <w:szCs w:val="20"/>
        </w:rPr>
        <w:t xml:space="preserve"> rerum; &amp; sic </w:t>
      </w:r>
      <w:proofErr w:type="spellStart"/>
      <w:r>
        <w:rPr>
          <w:rFonts w:ascii="Times New Roman" w:eastAsia="Times New Roman" w:hAnsi="Times New Roman" w:cs="Times New Roman"/>
          <w:sz w:val="20"/>
          <w:szCs w:val="20"/>
        </w:rPr>
        <w:t>habet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capacitatem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verificandi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illam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contradictionem</w:t>
      </w:r>
      <w:proofErr w:type="spellEnd"/>
      <w:r>
        <w:rPr>
          <w:rFonts w:ascii="Times New Roman" w:eastAsia="Times New Roman" w:hAnsi="Times New Roman" w:cs="Times New Roman"/>
          <w:sz w:val="20"/>
          <w:szCs w:val="20"/>
        </w:rPr>
        <w:t>.”</w:t>
      </w:r>
    </w:p>
  </w:footnote>
  <w:footnote w:id="48">
    <w:p w14:paraId="000000B3" w14:textId="77777777" w:rsidR="008D1538" w:rsidRDefault="00000000">
      <w:pPr>
        <w:spacing w:line="240" w:lineRule="auto"/>
        <w:rPr>
          <w:rFonts w:ascii="Times New Roman" w:eastAsia="Times New Roman" w:hAnsi="Times New Roman" w:cs="Times New Roman"/>
          <w:sz w:val="20"/>
          <w:szCs w:val="20"/>
          <w:highlight w:val="red"/>
        </w:rPr>
      </w:pPr>
      <w:r>
        <w:rPr>
          <w:vertAlign w:val="superscript"/>
        </w:rPr>
        <w:footnoteRef/>
      </w:r>
      <w:r>
        <w:rPr>
          <w:rFonts w:ascii="Times New Roman" w:eastAsia="Times New Roman" w:hAnsi="Times New Roman" w:cs="Times New Roman"/>
          <w:sz w:val="20"/>
          <w:szCs w:val="20"/>
        </w:rPr>
        <w:t xml:space="preserve"> John of St. Thomas, </w:t>
      </w:r>
      <w:r>
        <w:rPr>
          <w:rFonts w:ascii="Times New Roman" w:eastAsia="Times New Roman" w:hAnsi="Times New Roman" w:cs="Times New Roman"/>
          <w:i/>
          <w:sz w:val="20"/>
          <w:szCs w:val="20"/>
        </w:rPr>
        <w:t xml:space="preserve">Cursus </w:t>
      </w:r>
      <w:proofErr w:type="spellStart"/>
      <w:r>
        <w:rPr>
          <w:rFonts w:ascii="Times New Roman" w:eastAsia="Times New Roman" w:hAnsi="Times New Roman" w:cs="Times New Roman"/>
          <w:i/>
          <w:sz w:val="20"/>
          <w:szCs w:val="20"/>
        </w:rPr>
        <w:t>Theologici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tomus</w:t>
      </w:r>
      <w:proofErr w:type="spellEnd"/>
      <w:r>
        <w:rPr>
          <w:rFonts w:ascii="Times New Roman" w:eastAsia="Times New Roman" w:hAnsi="Times New Roman" w:cs="Times New Roman"/>
          <w:sz w:val="20"/>
          <w:szCs w:val="20"/>
        </w:rPr>
        <w:t xml:space="preserve"> 1.2, d. XIII a. 1 n. 17 p. 89.</w:t>
      </w:r>
    </w:p>
  </w:footnote>
  <w:footnote w:id="49">
    <w:p w14:paraId="000000BD"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John of St. Thomas, </w:t>
      </w:r>
      <w:r>
        <w:rPr>
          <w:rFonts w:ascii="Times New Roman" w:eastAsia="Times New Roman" w:hAnsi="Times New Roman" w:cs="Times New Roman"/>
          <w:i/>
          <w:sz w:val="20"/>
          <w:szCs w:val="20"/>
        </w:rPr>
        <w:t xml:space="preserve">Cursus </w:t>
      </w:r>
      <w:proofErr w:type="spellStart"/>
      <w:r>
        <w:rPr>
          <w:rFonts w:ascii="Times New Roman" w:eastAsia="Times New Roman" w:hAnsi="Times New Roman" w:cs="Times New Roman"/>
          <w:i/>
          <w:sz w:val="20"/>
          <w:szCs w:val="20"/>
        </w:rPr>
        <w:t>Theologici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tomus</w:t>
      </w:r>
      <w:proofErr w:type="spellEnd"/>
      <w:r>
        <w:rPr>
          <w:rFonts w:ascii="Times New Roman" w:eastAsia="Times New Roman" w:hAnsi="Times New Roman" w:cs="Times New Roman"/>
          <w:sz w:val="20"/>
          <w:szCs w:val="20"/>
        </w:rPr>
        <w:t xml:space="preserve"> 1.2, d. XIII a. 1 n. 17 p. 89.</w:t>
      </w:r>
    </w:p>
  </w:footnote>
  <w:footnote w:id="50">
    <w:p w14:paraId="000000B4"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Gonet, </w:t>
      </w:r>
      <w:proofErr w:type="spellStart"/>
      <w:r>
        <w:rPr>
          <w:rFonts w:ascii="Times New Roman" w:eastAsia="Times New Roman" w:hAnsi="Times New Roman" w:cs="Times New Roman"/>
          <w:i/>
          <w:sz w:val="20"/>
          <w:szCs w:val="20"/>
        </w:rPr>
        <w:t>Manuale</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Thomistarum</w:t>
      </w:r>
      <w:proofErr w:type="spellEnd"/>
      <w:r>
        <w:rPr>
          <w:rFonts w:ascii="Times New Roman" w:eastAsia="Times New Roman" w:hAnsi="Times New Roman" w:cs="Times New Roman"/>
          <w:sz w:val="20"/>
          <w:szCs w:val="20"/>
        </w:rPr>
        <w:t xml:space="preserve"> part 1 tractus VI caput IV s. 1 n. 13 p. 89.  Gonet chooses an unfortunate way of expressing the purportedly contradictory propositions, needlessly confusing the example by having different grammatical subjects in the sentences. However, as the next quote shows, this is not relevant to his solution, which he thinks can be applied to the subject “the divine entity” as well.</w:t>
      </w:r>
    </w:p>
  </w:footnote>
  <w:footnote w:id="51">
    <w:p w14:paraId="000000BE" w14:textId="77777777" w:rsidR="008D1538" w:rsidRDefault="00000000">
      <w:pPr>
        <w:spacing w:line="240" w:lineRule="auto"/>
        <w:rPr>
          <w:rFonts w:ascii="Times New Roman" w:eastAsia="Times New Roman" w:hAnsi="Times New Roman" w:cs="Times New Roman"/>
          <w:sz w:val="20"/>
          <w:szCs w:val="20"/>
          <w:highlight w:val="red"/>
        </w:rPr>
      </w:pPr>
      <w:r>
        <w:rPr>
          <w:vertAlign w:val="superscript"/>
        </w:rPr>
        <w:footnoteRef/>
      </w:r>
      <w:r>
        <w:rPr>
          <w:rFonts w:ascii="Times New Roman" w:eastAsia="Times New Roman" w:hAnsi="Times New Roman" w:cs="Times New Roman"/>
          <w:sz w:val="20"/>
          <w:szCs w:val="20"/>
        </w:rPr>
        <w:t xml:space="preserve"> Gonet, </w:t>
      </w:r>
      <w:proofErr w:type="spellStart"/>
      <w:r>
        <w:rPr>
          <w:rFonts w:ascii="Times New Roman" w:eastAsia="Times New Roman" w:hAnsi="Times New Roman" w:cs="Times New Roman"/>
          <w:i/>
          <w:sz w:val="20"/>
          <w:szCs w:val="20"/>
        </w:rPr>
        <w:t>Manuale</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Thomistarum</w:t>
      </w:r>
      <w:proofErr w:type="spellEnd"/>
      <w:r>
        <w:rPr>
          <w:rFonts w:ascii="Times New Roman" w:eastAsia="Times New Roman" w:hAnsi="Times New Roman" w:cs="Times New Roman"/>
          <w:sz w:val="20"/>
          <w:szCs w:val="20"/>
        </w:rPr>
        <w:t xml:space="preserve"> part 1 tractus VI caput IV s. 1 n. 14 p. 89.</w:t>
      </w:r>
    </w:p>
  </w:footnote>
  <w:footnote w:id="52">
    <w:p w14:paraId="000000BF"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As mentioned, Vicente Ferre also falls into the </w:t>
      </w:r>
      <w:proofErr w:type="spellStart"/>
      <w:r>
        <w:rPr>
          <w:rFonts w:ascii="Times New Roman" w:eastAsia="Times New Roman" w:hAnsi="Times New Roman" w:cs="Times New Roman"/>
          <w:sz w:val="20"/>
          <w:szCs w:val="20"/>
        </w:rPr>
        <w:t>Reduplicationist</w:t>
      </w:r>
      <w:proofErr w:type="spellEnd"/>
      <w:r>
        <w:rPr>
          <w:rFonts w:ascii="Times New Roman" w:eastAsia="Times New Roman" w:hAnsi="Times New Roman" w:cs="Times New Roman"/>
          <w:sz w:val="20"/>
          <w:szCs w:val="20"/>
        </w:rPr>
        <w:t xml:space="preserve"> camp, </w:t>
      </w:r>
      <w:r>
        <w:rPr>
          <w:rFonts w:ascii="Times New Roman" w:eastAsia="Times New Roman" w:hAnsi="Times New Roman" w:cs="Times New Roman"/>
          <w:i/>
          <w:sz w:val="20"/>
          <w:szCs w:val="20"/>
        </w:rPr>
        <w:t xml:space="preserve">Tractatus </w:t>
      </w:r>
      <w:proofErr w:type="spellStart"/>
      <w:r>
        <w:rPr>
          <w:rFonts w:ascii="Times New Roman" w:eastAsia="Times New Roman" w:hAnsi="Times New Roman" w:cs="Times New Roman"/>
          <w:i/>
          <w:sz w:val="20"/>
          <w:szCs w:val="20"/>
        </w:rPr>
        <w:t>Theologici</w:t>
      </w:r>
      <w:proofErr w:type="spellEnd"/>
      <w:r>
        <w:rPr>
          <w:rFonts w:ascii="Times New Roman" w:eastAsia="Times New Roman" w:hAnsi="Times New Roman" w:cs="Times New Roman"/>
          <w:i/>
          <w:sz w:val="20"/>
          <w:szCs w:val="20"/>
        </w:rPr>
        <w:t xml:space="preserve"> </w:t>
      </w:r>
      <w:proofErr w:type="gramStart"/>
      <w:r>
        <w:rPr>
          <w:rFonts w:ascii="Times New Roman" w:eastAsia="Times New Roman" w:hAnsi="Times New Roman" w:cs="Times New Roman"/>
          <w:i/>
          <w:sz w:val="20"/>
          <w:szCs w:val="20"/>
        </w:rPr>
        <w:t>In</w:t>
      </w:r>
      <w:proofErr w:type="gramEnd"/>
      <w:r>
        <w:rPr>
          <w:rFonts w:ascii="Times New Roman" w:eastAsia="Times New Roman" w:hAnsi="Times New Roman" w:cs="Times New Roman"/>
          <w:i/>
          <w:sz w:val="20"/>
          <w:szCs w:val="20"/>
        </w:rPr>
        <w:t xml:space="preserve"> Primam Partem D. Thomae </w:t>
      </w:r>
      <w:r>
        <w:rPr>
          <w:rFonts w:ascii="Times New Roman" w:eastAsia="Times New Roman" w:hAnsi="Times New Roman" w:cs="Times New Roman"/>
          <w:sz w:val="20"/>
          <w:szCs w:val="20"/>
        </w:rPr>
        <w:t>Tomus Tertius Tract. 14 q. 4 s. 9 p.73 n. 111: “</w:t>
      </w:r>
      <w:proofErr w:type="spellStart"/>
      <w:r>
        <w:rPr>
          <w:rFonts w:ascii="Times New Roman" w:eastAsia="Times New Roman" w:hAnsi="Times New Roman" w:cs="Times New Roman"/>
          <w:sz w:val="20"/>
          <w:szCs w:val="20"/>
        </w:rPr>
        <w:t>ut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enim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talia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praedicata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haberent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actualem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oppositionem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oporteret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quod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convenirent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Divinitati</w:t>
      </w:r>
      <w:proofErr w:type="spellEnd"/>
      <w:r>
        <w:rPr>
          <w:rFonts w:ascii="Times New Roman" w:eastAsia="Times New Roman" w:hAnsi="Times New Roman" w:cs="Times New Roman"/>
          <w:sz w:val="20"/>
          <w:szCs w:val="20"/>
        </w:rPr>
        <w:t xml:space="preserve"> ratione </w:t>
      </w:r>
      <w:proofErr w:type="spellStart"/>
      <w:r>
        <w:rPr>
          <w:rFonts w:ascii="Times New Roman" w:eastAsia="Times New Roman" w:hAnsi="Times New Roman" w:cs="Times New Roman"/>
          <w:sz w:val="20"/>
          <w:szCs w:val="20"/>
        </w:rPr>
        <w:t>eiusdem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virtualitatis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Cumque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aliud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conveniat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divinitati</w:t>
      </w:r>
      <w:proofErr w:type="spellEnd"/>
      <w:r>
        <w:rPr>
          <w:rFonts w:ascii="Times New Roman" w:eastAsia="Times New Roman" w:hAnsi="Times New Roman" w:cs="Times New Roman"/>
          <w:sz w:val="20"/>
          <w:szCs w:val="20"/>
        </w:rPr>
        <w:t xml:space="preserve">, ex quo </w:t>
      </w:r>
      <w:proofErr w:type="spellStart"/>
      <w:r>
        <w:rPr>
          <w:rFonts w:ascii="Times New Roman" w:eastAsia="Times New Roman" w:hAnsi="Times New Roman" w:cs="Times New Roman"/>
          <w:sz w:val="20"/>
          <w:szCs w:val="20"/>
        </w:rPr>
        <w:t>absoluta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est</w:t>
      </w:r>
      <w:proofErr w:type="spellEnd"/>
      <w:r>
        <w:rPr>
          <w:rFonts w:ascii="Times New Roman" w:eastAsia="Times New Roman" w:hAnsi="Times New Roman" w:cs="Times New Roman"/>
          <w:sz w:val="20"/>
          <w:szCs w:val="20"/>
        </w:rPr>
        <w:t xml:space="preserve">, et </w:t>
      </w:r>
      <w:proofErr w:type="spellStart"/>
      <w:r>
        <w:rPr>
          <w:rFonts w:ascii="Times New Roman" w:eastAsia="Times New Roman" w:hAnsi="Times New Roman" w:cs="Times New Roman"/>
          <w:sz w:val="20"/>
          <w:szCs w:val="20"/>
        </w:rPr>
        <w:t>aliud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conveniat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Divinitati</w:t>
      </w:r>
      <w:proofErr w:type="spellEnd"/>
      <w:r>
        <w:rPr>
          <w:rFonts w:ascii="Times New Roman" w:eastAsia="Times New Roman" w:hAnsi="Times New Roman" w:cs="Times New Roman"/>
          <w:sz w:val="20"/>
          <w:szCs w:val="20"/>
        </w:rPr>
        <w:t xml:space="preserve">, ex quo </w:t>
      </w:r>
      <w:proofErr w:type="spellStart"/>
      <w:r>
        <w:rPr>
          <w:rFonts w:ascii="Times New Roman" w:eastAsia="Times New Roman" w:hAnsi="Times New Roman" w:cs="Times New Roman"/>
          <w:sz w:val="20"/>
          <w:szCs w:val="20"/>
        </w:rPr>
        <w:t>actu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relativa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actu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nullam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habent</w:t>
      </w:r>
      <w:proofErr w:type="spellEnd"/>
      <w:r>
        <w:rPr>
          <w:rFonts w:ascii="Times New Roman" w:eastAsia="Times New Roman" w:hAnsi="Times New Roman" w:cs="Times New Roman"/>
          <w:sz w:val="20"/>
          <w:szCs w:val="20"/>
        </w:rPr>
        <w:t xml:space="preserve"> inter se </w:t>
      </w:r>
      <w:proofErr w:type="spellStart"/>
      <w:r>
        <w:rPr>
          <w:rFonts w:ascii="Times New Roman" w:eastAsia="Times New Roman" w:hAnsi="Times New Roman" w:cs="Times New Roman"/>
          <w:sz w:val="20"/>
          <w:szCs w:val="20"/>
        </w:rPr>
        <w:t>oppositionem</w:t>
      </w:r>
      <w:proofErr w:type="spellEnd"/>
      <w:r>
        <w:rPr>
          <w:rFonts w:ascii="Times New Roman" w:eastAsia="Times New Roman" w:hAnsi="Times New Roman" w:cs="Times New Roman"/>
          <w:sz w:val="20"/>
          <w:szCs w:val="20"/>
        </w:rPr>
        <w:t>.”</w:t>
      </w:r>
    </w:p>
  </w:footnote>
  <w:footnote w:id="53">
    <w:p w14:paraId="000000EC" w14:textId="77777777" w:rsidR="008D1538" w:rsidRDefault="00000000">
      <w:pPr>
        <w:spacing w:line="240" w:lineRule="auto"/>
        <w:rPr>
          <w:sz w:val="20"/>
          <w:szCs w:val="20"/>
        </w:rPr>
      </w:pPr>
      <w:r>
        <w:rPr>
          <w:vertAlign w:val="superscript"/>
        </w:rPr>
        <w:footnoteRef/>
      </w:r>
      <w:r>
        <w:rPr>
          <w:sz w:val="20"/>
          <w:szCs w:val="20"/>
        </w:rPr>
        <w:t xml:space="preserve"> </w:t>
      </w:r>
      <w:proofErr w:type="spellStart"/>
      <w:r>
        <w:rPr>
          <w:rFonts w:ascii="Times New Roman" w:eastAsia="Times New Roman" w:hAnsi="Times New Roman" w:cs="Times New Roman"/>
          <w:sz w:val="20"/>
          <w:szCs w:val="20"/>
        </w:rPr>
        <w:t>Salmanticenses</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 xml:space="preserve">Cursus </w:t>
      </w:r>
      <w:proofErr w:type="spellStart"/>
      <w:r>
        <w:rPr>
          <w:rFonts w:ascii="Times New Roman" w:eastAsia="Times New Roman" w:hAnsi="Times New Roman" w:cs="Times New Roman"/>
          <w:i/>
          <w:sz w:val="20"/>
          <w:szCs w:val="20"/>
        </w:rPr>
        <w:t>Theologicus</w:t>
      </w:r>
      <w:proofErr w:type="spellEnd"/>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 xml:space="preserve">t. 6 dis. 5 dub. 2 s. 7 n. 56 p. 149. “Ita </w:t>
      </w:r>
      <w:proofErr w:type="spellStart"/>
      <w:r>
        <w:rPr>
          <w:rFonts w:ascii="Times New Roman" w:eastAsia="Times New Roman" w:hAnsi="Times New Roman" w:cs="Times New Roman"/>
          <w:sz w:val="20"/>
          <w:szCs w:val="20"/>
        </w:rPr>
        <w:t>neque</w:t>
      </w:r>
      <w:proofErr w:type="spellEnd"/>
      <w:r>
        <w:rPr>
          <w:rFonts w:ascii="Times New Roman" w:eastAsia="Times New Roman" w:hAnsi="Times New Roman" w:cs="Times New Roman"/>
          <w:sz w:val="20"/>
          <w:szCs w:val="20"/>
        </w:rPr>
        <w:t xml:space="preserve"> in Deo </w:t>
      </w:r>
      <w:proofErr w:type="spellStart"/>
      <w:r>
        <w:rPr>
          <w:rFonts w:ascii="Times New Roman" w:eastAsia="Times New Roman" w:hAnsi="Times New Roman" w:cs="Times New Roman"/>
          <w:sz w:val="20"/>
          <w:szCs w:val="20"/>
        </w:rPr>
        <w:t>valebit</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illa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formalitate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essentiae</w:t>
      </w:r>
      <w:proofErr w:type="spellEnd"/>
      <w:r>
        <w:rPr>
          <w:rFonts w:ascii="Times New Roman" w:eastAsia="Times New Roman" w:hAnsi="Times New Roman" w:cs="Times New Roman"/>
          <w:sz w:val="20"/>
          <w:szCs w:val="20"/>
        </w:rPr>
        <w:t xml:space="preserve">, et </w:t>
      </w:r>
      <w:proofErr w:type="spellStart"/>
      <w:r>
        <w:rPr>
          <w:rFonts w:ascii="Times New Roman" w:eastAsia="Times New Roman" w:hAnsi="Times New Roman" w:cs="Times New Roman"/>
          <w:sz w:val="20"/>
          <w:szCs w:val="20"/>
        </w:rPr>
        <w:t>relationis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verificari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quod</w:t>
      </w:r>
      <w:proofErr w:type="spellEnd"/>
      <w:r>
        <w:rPr>
          <w:rFonts w:ascii="Times New Roman" w:eastAsia="Times New Roman" w:hAnsi="Times New Roman" w:cs="Times New Roman"/>
          <w:sz w:val="20"/>
          <w:szCs w:val="20"/>
        </w:rPr>
        <w:t xml:space="preserve"> non </w:t>
      </w:r>
      <w:proofErr w:type="spellStart"/>
      <w:r>
        <w:rPr>
          <w:rFonts w:ascii="Times New Roman" w:eastAsia="Times New Roman" w:hAnsi="Times New Roman" w:cs="Times New Roman"/>
          <w:sz w:val="20"/>
          <w:szCs w:val="20"/>
        </w:rPr>
        <w:t>est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communicabilis</w:t>
      </w:r>
      <w:proofErr w:type="spellEnd"/>
      <w:r>
        <w:rPr>
          <w:rFonts w:ascii="Times New Roman" w:eastAsia="Times New Roman" w:hAnsi="Times New Roman" w:cs="Times New Roman"/>
          <w:sz w:val="20"/>
          <w:szCs w:val="20"/>
        </w:rPr>
        <w:t xml:space="preserve">, ex </w:t>
      </w:r>
      <w:proofErr w:type="spellStart"/>
      <w:r>
        <w:rPr>
          <w:rFonts w:ascii="Times New Roman" w:eastAsia="Times New Roman" w:hAnsi="Times New Roman" w:cs="Times New Roman"/>
          <w:sz w:val="20"/>
          <w:szCs w:val="20"/>
        </w:rPr>
        <w:t>eo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quod</w:t>
      </w:r>
      <w:proofErr w:type="spellEnd"/>
      <w:r>
        <w:rPr>
          <w:rFonts w:ascii="Times New Roman" w:eastAsia="Times New Roman" w:hAnsi="Times New Roman" w:cs="Times New Roman"/>
          <w:sz w:val="20"/>
          <w:szCs w:val="20"/>
        </w:rPr>
        <w:t xml:space="preserve"> sit non </w:t>
      </w:r>
      <w:proofErr w:type="spellStart"/>
      <w:r>
        <w:rPr>
          <w:rFonts w:ascii="Times New Roman" w:eastAsia="Times New Roman" w:hAnsi="Times New Roman" w:cs="Times New Roman"/>
          <w:sz w:val="20"/>
          <w:szCs w:val="20"/>
        </w:rPr>
        <w:t>communicabilis</w:t>
      </w:r>
      <w:proofErr w:type="spellEnd"/>
      <w:r>
        <w:rPr>
          <w:rFonts w:ascii="Times New Roman" w:eastAsia="Times New Roman" w:hAnsi="Times New Roman" w:cs="Times New Roman"/>
          <w:sz w:val="20"/>
          <w:szCs w:val="20"/>
        </w:rPr>
        <w:t xml:space="preserve">.” The </w:t>
      </w:r>
      <w:proofErr w:type="spellStart"/>
      <w:r>
        <w:rPr>
          <w:rFonts w:ascii="Times New Roman" w:eastAsia="Times New Roman" w:hAnsi="Times New Roman" w:cs="Times New Roman"/>
          <w:sz w:val="20"/>
          <w:szCs w:val="20"/>
        </w:rPr>
        <w:t>Salmanticenses</w:t>
      </w:r>
      <w:proofErr w:type="spellEnd"/>
      <w:r>
        <w:rPr>
          <w:rFonts w:ascii="Times New Roman" w:eastAsia="Times New Roman" w:hAnsi="Times New Roman" w:cs="Times New Roman"/>
          <w:sz w:val="20"/>
          <w:szCs w:val="20"/>
        </w:rPr>
        <w:t xml:space="preserve"> treat “</w:t>
      </w:r>
      <w:proofErr w:type="spellStart"/>
      <w:r>
        <w:rPr>
          <w:rFonts w:ascii="Times New Roman" w:eastAsia="Times New Roman" w:hAnsi="Times New Roman" w:cs="Times New Roman"/>
          <w:sz w:val="20"/>
          <w:szCs w:val="20"/>
        </w:rPr>
        <w:t>est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incommunicabilis</w:t>
      </w:r>
      <w:proofErr w:type="spellEnd"/>
      <w:r>
        <w:rPr>
          <w:rFonts w:ascii="Times New Roman" w:eastAsia="Times New Roman" w:hAnsi="Times New Roman" w:cs="Times New Roman"/>
          <w:sz w:val="20"/>
          <w:szCs w:val="20"/>
        </w:rPr>
        <w:t>” as equivalent to “</w:t>
      </w:r>
      <w:proofErr w:type="spellStart"/>
      <w:r>
        <w:rPr>
          <w:rFonts w:ascii="Times New Roman" w:eastAsia="Times New Roman" w:hAnsi="Times New Roman" w:cs="Times New Roman"/>
          <w:sz w:val="20"/>
          <w:szCs w:val="20"/>
        </w:rPr>
        <w:t>est</w:t>
      </w:r>
      <w:proofErr w:type="spellEnd"/>
      <w:r>
        <w:rPr>
          <w:rFonts w:ascii="Times New Roman" w:eastAsia="Times New Roman" w:hAnsi="Times New Roman" w:cs="Times New Roman"/>
          <w:sz w:val="20"/>
          <w:szCs w:val="20"/>
        </w:rPr>
        <w:t xml:space="preserve"> non </w:t>
      </w:r>
      <w:proofErr w:type="spellStart"/>
      <w:r>
        <w:rPr>
          <w:rFonts w:ascii="Times New Roman" w:eastAsia="Times New Roman" w:hAnsi="Times New Roman" w:cs="Times New Roman"/>
          <w:sz w:val="20"/>
          <w:szCs w:val="20"/>
        </w:rPr>
        <w:t>communicabilis</w:t>
      </w:r>
      <w:proofErr w:type="spellEnd"/>
      <w:r>
        <w:rPr>
          <w:rFonts w:ascii="Times New Roman" w:eastAsia="Times New Roman" w:hAnsi="Times New Roman" w:cs="Times New Roman"/>
          <w:sz w:val="20"/>
          <w:szCs w:val="20"/>
        </w:rPr>
        <w:t xml:space="preserve">,” which differs from “non </w:t>
      </w:r>
      <w:proofErr w:type="spellStart"/>
      <w:r>
        <w:rPr>
          <w:rFonts w:ascii="Times New Roman" w:eastAsia="Times New Roman" w:hAnsi="Times New Roman" w:cs="Times New Roman"/>
          <w:sz w:val="20"/>
          <w:szCs w:val="20"/>
        </w:rPr>
        <w:t>est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communicabilis</w:t>
      </w:r>
      <w:proofErr w:type="spellEnd"/>
      <w:r>
        <w:rPr>
          <w:rFonts w:ascii="Times New Roman" w:eastAsia="Times New Roman" w:hAnsi="Times New Roman" w:cs="Times New Roman"/>
          <w:sz w:val="20"/>
          <w:szCs w:val="20"/>
        </w:rPr>
        <w:t>” as will be seen below. For the sake of clarity, we have chosen to translate “</w:t>
      </w:r>
      <w:proofErr w:type="spellStart"/>
      <w:r>
        <w:rPr>
          <w:rFonts w:ascii="Times New Roman" w:eastAsia="Times New Roman" w:hAnsi="Times New Roman" w:cs="Times New Roman"/>
          <w:sz w:val="20"/>
          <w:szCs w:val="20"/>
        </w:rPr>
        <w:t>est</w:t>
      </w:r>
      <w:proofErr w:type="spellEnd"/>
      <w:r>
        <w:rPr>
          <w:rFonts w:ascii="Times New Roman" w:eastAsia="Times New Roman" w:hAnsi="Times New Roman" w:cs="Times New Roman"/>
          <w:sz w:val="20"/>
          <w:szCs w:val="20"/>
        </w:rPr>
        <w:t xml:space="preserve"> non </w:t>
      </w:r>
      <w:proofErr w:type="spellStart"/>
      <w:r>
        <w:rPr>
          <w:rFonts w:ascii="Times New Roman" w:eastAsia="Times New Roman" w:hAnsi="Times New Roman" w:cs="Times New Roman"/>
          <w:sz w:val="20"/>
          <w:szCs w:val="20"/>
        </w:rPr>
        <w:t>communicabilis</w:t>
      </w:r>
      <w:proofErr w:type="spellEnd"/>
      <w:r>
        <w:rPr>
          <w:rFonts w:ascii="Times New Roman" w:eastAsia="Times New Roman" w:hAnsi="Times New Roman" w:cs="Times New Roman"/>
          <w:sz w:val="20"/>
          <w:szCs w:val="20"/>
        </w:rPr>
        <w:t>” and its variants as variants of “is incommunicable.”</w:t>
      </w:r>
    </w:p>
  </w:footnote>
  <w:footnote w:id="54">
    <w:p w14:paraId="000000CA"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Alternatively, as a matter of identity or absolute indiscernibility. </w:t>
      </w:r>
    </w:p>
  </w:footnote>
  <w:footnote w:id="55">
    <w:p w14:paraId="000000ED" w14:textId="77777777" w:rsidR="008D1538" w:rsidRDefault="00000000">
      <w:pPr>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 If we wish to take these as real definitions of communicability and incommunicability, respectively, circularity can be avoided by insisting that communicability according to a </w:t>
      </w:r>
      <w:r>
        <w:rPr>
          <w:rFonts w:ascii="Times New Roman" w:eastAsia="Times New Roman" w:hAnsi="Times New Roman" w:cs="Times New Roman"/>
          <w:i/>
          <w:sz w:val="20"/>
          <w:szCs w:val="20"/>
        </w:rPr>
        <w:t>ratio</w:t>
      </w:r>
      <w:r>
        <w:rPr>
          <w:rFonts w:ascii="Times New Roman" w:eastAsia="Times New Roman" w:hAnsi="Times New Roman" w:cs="Times New Roman"/>
          <w:sz w:val="20"/>
          <w:szCs w:val="20"/>
        </w:rPr>
        <w:t xml:space="preserve"> is not defined in terms of communicability </w:t>
      </w:r>
      <w:r>
        <w:rPr>
          <w:rFonts w:ascii="Times New Roman" w:eastAsia="Times New Roman" w:hAnsi="Times New Roman" w:cs="Times New Roman"/>
          <w:i/>
          <w:sz w:val="20"/>
          <w:szCs w:val="20"/>
        </w:rPr>
        <w:t>simpliciter</w:t>
      </w:r>
      <w:r>
        <w:rPr>
          <w:rFonts w:ascii="Times New Roman" w:eastAsia="Times New Roman" w:hAnsi="Times New Roman" w:cs="Times New Roman"/>
          <w:sz w:val="20"/>
          <w:szCs w:val="20"/>
        </w:rPr>
        <w:t xml:space="preserve">, and likewise </w:t>
      </w:r>
      <w:r>
        <w:rPr>
          <w:rFonts w:ascii="Times New Roman" w:eastAsia="Times New Roman" w:hAnsi="Times New Roman" w:cs="Times New Roman"/>
          <w:i/>
          <w:sz w:val="20"/>
          <w:szCs w:val="20"/>
        </w:rPr>
        <w:t>mutatis mutandis</w:t>
      </w:r>
      <w:r>
        <w:rPr>
          <w:rFonts w:ascii="Times New Roman" w:eastAsia="Times New Roman" w:hAnsi="Times New Roman" w:cs="Times New Roman"/>
          <w:sz w:val="20"/>
          <w:szCs w:val="20"/>
        </w:rPr>
        <w:t xml:space="preserve"> for incommunicability; the relative notion is prior to the non-relative notion, even though our </w:t>
      </w:r>
      <w:r>
        <w:rPr>
          <w:rFonts w:ascii="Times New Roman" w:eastAsia="Times New Roman" w:hAnsi="Times New Roman" w:cs="Times New Roman"/>
          <w:i/>
          <w:sz w:val="20"/>
          <w:szCs w:val="20"/>
        </w:rPr>
        <w:t xml:space="preserve">expressions </w:t>
      </w:r>
      <w:r>
        <w:rPr>
          <w:rFonts w:ascii="Times New Roman" w:eastAsia="Times New Roman" w:hAnsi="Times New Roman" w:cs="Times New Roman"/>
          <w:sz w:val="20"/>
          <w:szCs w:val="20"/>
        </w:rPr>
        <w:t xml:space="preserve">for the non-relative notion are </w:t>
      </w:r>
      <w:r>
        <w:rPr>
          <w:rFonts w:ascii="Times New Roman" w:eastAsia="Times New Roman" w:hAnsi="Times New Roman" w:cs="Times New Roman"/>
          <w:i/>
          <w:sz w:val="20"/>
          <w:szCs w:val="20"/>
        </w:rPr>
        <w:t xml:space="preserve">lexically </w:t>
      </w:r>
      <w:r>
        <w:rPr>
          <w:rFonts w:ascii="Times New Roman" w:eastAsia="Times New Roman" w:hAnsi="Times New Roman" w:cs="Times New Roman"/>
          <w:sz w:val="20"/>
          <w:szCs w:val="20"/>
        </w:rPr>
        <w:t>prior to our expressions for the relative notion.</w:t>
      </w:r>
    </w:p>
  </w:footnote>
  <w:footnote w:id="56">
    <w:p w14:paraId="000000EE"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This strategy is an analog of a strategy used by many scholastics and recently by Pawl (2016) to defend against putative contradictions in the context of Christology. However effective the Christological strategy is, we will argue that radical </w:t>
      </w:r>
      <w:proofErr w:type="spellStart"/>
      <w:r>
        <w:rPr>
          <w:rFonts w:ascii="Times New Roman" w:eastAsia="Times New Roman" w:hAnsi="Times New Roman" w:cs="Times New Roman"/>
          <w:sz w:val="20"/>
          <w:szCs w:val="20"/>
        </w:rPr>
        <w:t>reduplicationist</w:t>
      </w:r>
      <w:proofErr w:type="spellEnd"/>
      <w:r>
        <w:rPr>
          <w:rFonts w:ascii="Times New Roman" w:eastAsia="Times New Roman" w:hAnsi="Times New Roman" w:cs="Times New Roman"/>
          <w:sz w:val="20"/>
          <w:szCs w:val="20"/>
        </w:rPr>
        <w:t xml:space="preserve"> responses to the Achilles face more challenging problems.</w:t>
      </w:r>
    </w:p>
  </w:footnote>
  <w:footnote w:id="57">
    <w:p w14:paraId="00000103"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Salmanticenses</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 xml:space="preserve">Cursus </w:t>
      </w:r>
      <w:proofErr w:type="spellStart"/>
      <w:r>
        <w:rPr>
          <w:rFonts w:ascii="Times New Roman" w:eastAsia="Times New Roman" w:hAnsi="Times New Roman" w:cs="Times New Roman"/>
          <w:i/>
          <w:sz w:val="20"/>
          <w:szCs w:val="20"/>
        </w:rPr>
        <w:t>Theologicus</w:t>
      </w:r>
      <w:proofErr w:type="spellEnd"/>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 xml:space="preserve">t. 6 dis. 5 dub. 2 s. 7 n. 56 p. 149. </w:t>
      </w:r>
    </w:p>
  </w:footnote>
  <w:footnote w:id="58">
    <w:p w14:paraId="000000F4"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argument here is our own, but it bears some resemblance to an argument from Mastri (</w:t>
      </w:r>
      <w:r>
        <w:rPr>
          <w:rFonts w:ascii="Times New Roman" w:eastAsia="Times New Roman" w:hAnsi="Times New Roman" w:cs="Times New Roman"/>
          <w:i/>
          <w:sz w:val="20"/>
          <w:szCs w:val="20"/>
        </w:rPr>
        <w:t xml:space="preserve">Disputationes </w:t>
      </w:r>
      <w:proofErr w:type="spellStart"/>
      <w:r>
        <w:rPr>
          <w:rFonts w:ascii="Times New Roman" w:eastAsia="Times New Roman" w:hAnsi="Times New Roman" w:cs="Times New Roman"/>
          <w:i/>
          <w:sz w:val="20"/>
          <w:szCs w:val="20"/>
        </w:rPr>
        <w:t>Theologicae</w:t>
      </w:r>
      <w:proofErr w:type="spellEnd"/>
      <w:r>
        <w:rPr>
          <w:rFonts w:ascii="Times New Roman" w:eastAsia="Times New Roman" w:hAnsi="Times New Roman" w:cs="Times New Roman"/>
          <w:sz w:val="20"/>
          <w:szCs w:val="20"/>
        </w:rPr>
        <w:t xml:space="preserve"> d. 2 q. 2 a. 2 p. 17 n. 29)</w:t>
      </w:r>
    </w:p>
  </w:footnote>
  <w:footnote w:id="59">
    <w:p w14:paraId="000000F5"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This seems to be the horn taken by Aquinas himself (</w:t>
      </w:r>
      <w:r>
        <w:rPr>
          <w:rFonts w:ascii="Times New Roman" w:eastAsia="Times New Roman" w:hAnsi="Times New Roman" w:cs="Times New Roman"/>
          <w:i/>
          <w:sz w:val="20"/>
          <w:szCs w:val="20"/>
        </w:rPr>
        <w:t>Sentences</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 d</w:t>
      </w:r>
      <w:proofErr w:type="spellEnd"/>
      <w:r>
        <w:rPr>
          <w:rFonts w:ascii="Times New Roman" w:eastAsia="Times New Roman" w:hAnsi="Times New Roman" w:cs="Times New Roman"/>
          <w:sz w:val="20"/>
          <w:szCs w:val="20"/>
        </w:rPr>
        <w:t>. 2 q. 1 a. 3).</w:t>
      </w:r>
    </w:p>
  </w:footnote>
  <w:footnote w:id="60">
    <w:p w14:paraId="000000F6" w14:textId="77777777" w:rsidR="008D1538" w:rsidRDefault="00000000">
      <w:pPr>
        <w:spacing w:line="240" w:lineRule="auto"/>
        <w:rPr>
          <w:sz w:val="16"/>
          <w:szCs w:val="16"/>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Note: none of this is a problem for the radical </w:t>
      </w:r>
      <w:proofErr w:type="spellStart"/>
      <w:r>
        <w:rPr>
          <w:rFonts w:ascii="Times New Roman" w:eastAsia="Times New Roman" w:hAnsi="Times New Roman" w:cs="Times New Roman"/>
          <w:sz w:val="20"/>
          <w:szCs w:val="20"/>
        </w:rPr>
        <w:t>reduplicationist</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per se</w:t>
      </w:r>
      <w:r>
        <w:rPr>
          <w:rFonts w:ascii="Times New Roman" w:eastAsia="Times New Roman" w:hAnsi="Times New Roman" w:cs="Times New Roman"/>
          <w:sz w:val="20"/>
          <w:szCs w:val="20"/>
        </w:rPr>
        <w:t xml:space="preserve">. Rather, this is a problem for radical </w:t>
      </w:r>
      <w:proofErr w:type="spellStart"/>
      <w:r>
        <w:rPr>
          <w:rFonts w:ascii="Times New Roman" w:eastAsia="Times New Roman" w:hAnsi="Times New Roman" w:cs="Times New Roman"/>
          <w:sz w:val="20"/>
          <w:szCs w:val="20"/>
        </w:rPr>
        <w:t>reduplicationist</w:t>
      </w:r>
      <w:proofErr w:type="spellEnd"/>
      <w:r>
        <w:rPr>
          <w:rFonts w:ascii="Times New Roman" w:eastAsia="Times New Roman" w:hAnsi="Times New Roman" w:cs="Times New Roman"/>
          <w:sz w:val="20"/>
          <w:szCs w:val="20"/>
        </w:rPr>
        <w:t xml:space="preserve"> responses to </w:t>
      </w:r>
      <w:r>
        <w:rPr>
          <w:rFonts w:ascii="Times New Roman" w:eastAsia="Times New Roman" w:hAnsi="Times New Roman" w:cs="Times New Roman"/>
          <w:i/>
          <w:sz w:val="20"/>
          <w:szCs w:val="20"/>
        </w:rPr>
        <w:t>the Achilles argument</w:t>
      </w:r>
      <w:r>
        <w:rPr>
          <w:rFonts w:ascii="Times New Roman" w:eastAsia="Times New Roman" w:hAnsi="Times New Roman" w:cs="Times New Roman"/>
          <w:sz w:val="20"/>
          <w:szCs w:val="20"/>
        </w:rPr>
        <w:t xml:space="preserve">. There are several ways of spelling out what these diverse </w:t>
      </w:r>
      <w:r>
        <w:rPr>
          <w:rFonts w:ascii="Times New Roman" w:eastAsia="Times New Roman" w:hAnsi="Times New Roman" w:cs="Times New Roman"/>
          <w:i/>
          <w:sz w:val="20"/>
          <w:szCs w:val="20"/>
        </w:rPr>
        <w:t xml:space="preserve">rationes </w:t>
      </w:r>
      <w:r>
        <w:rPr>
          <w:rFonts w:ascii="Times New Roman" w:eastAsia="Times New Roman" w:hAnsi="Times New Roman" w:cs="Times New Roman"/>
          <w:sz w:val="20"/>
          <w:szCs w:val="20"/>
        </w:rPr>
        <w:t xml:space="preserve">are; none of them, though, can do the explanatory work required of them without ceding ground to the </w:t>
      </w:r>
      <w:proofErr w:type="spellStart"/>
      <w:r>
        <w:rPr>
          <w:rFonts w:ascii="Times New Roman" w:eastAsia="Times New Roman" w:hAnsi="Times New Roman" w:cs="Times New Roman"/>
          <w:sz w:val="20"/>
          <w:szCs w:val="20"/>
        </w:rPr>
        <w:t>Scotist</w:t>
      </w:r>
      <w:proofErr w:type="spellEnd"/>
      <w:r>
        <w:rPr>
          <w:rFonts w:ascii="Times New Roman" w:eastAsia="Times New Roman" w:hAnsi="Times New Roman" w:cs="Times New Roman"/>
          <w:sz w:val="20"/>
          <w:szCs w:val="20"/>
        </w:rPr>
        <w:t xml:space="preserve">.  </w:t>
      </w:r>
    </w:p>
  </w:footnote>
  <w:footnote w:id="61">
    <w:p w14:paraId="000000F7"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See </w:t>
      </w:r>
      <w:proofErr w:type="spellStart"/>
      <w:r>
        <w:rPr>
          <w:rFonts w:ascii="Times New Roman" w:eastAsia="Times New Roman" w:hAnsi="Times New Roman" w:cs="Times New Roman"/>
          <w:sz w:val="20"/>
          <w:szCs w:val="20"/>
        </w:rPr>
        <w:t>Stanburgy</w:t>
      </w:r>
      <w:proofErr w:type="spellEnd"/>
      <w:r>
        <w:rPr>
          <w:rFonts w:ascii="Times New Roman" w:eastAsia="Times New Roman" w:hAnsi="Times New Roman" w:cs="Times New Roman"/>
          <w:sz w:val="20"/>
          <w:szCs w:val="20"/>
        </w:rPr>
        <w:t xml:space="preserve"> (2019) for discussion. </w:t>
      </w:r>
    </w:p>
  </w:footnote>
  <w:footnote w:id="62">
    <w:p w14:paraId="000000F8"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See Ursic (1998) for discussion.</w:t>
      </w:r>
    </w:p>
  </w:footnote>
  <w:footnote w:id="63">
    <w:p w14:paraId="000000FE" w14:textId="77777777" w:rsidR="008D1538" w:rsidRDefault="00000000">
      <w:pPr>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 See Leibniz </w:t>
      </w:r>
      <w:proofErr w:type="gramStart"/>
      <w:r>
        <w:rPr>
          <w:rFonts w:ascii="Times New Roman" w:eastAsia="Times New Roman" w:hAnsi="Times New Roman" w:cs="Times New Roman"/>
          <w:i/>
          <w:sz w:val="20"/>
          <w:szCs w:val="20"/>
        </w:rPr>
        <w:t>The</w:t>
      </w:r>
      <w:proofErr w:type="gramEnd"/>
      <w:r>
        <w:rPr>
          <w:rFonts w:ascii="Times New Roman" w:eastAsia="Times New Roman" w:hAnsi="Times New Roman" w:cs="Times New Roman"/>
          <w:i/>
          <w:sz w:val="20"/>
          <w:szCs w:val="20"/>
        </w:rPr>
        <w:t xml:space="preserve"> Art of Controversies</w:t>
      </w:r>
      <w:r>
        <w:rPr>
          <w:rFonts w:ascii="Times New Roman" w:eastAsia="Times New Roman" w:hAnsi="Times New Roman" w:cs="Times New Roman"/>
          <w:sz w:val="20"/>
          <w:szCs w:val="20"/>
        </w:rPr>
        <w:t xml:space="preserve"> chapter 25. </w:t>
      </w:r>
    </w:p>
  </w:footnote>
  <w:footnote w:id="64">
    <w:p w14:paraId="000000B5"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Fabri </w:t>
      </w:r>
      <w:proofErr w:type="spellStart"/>
      <w:r>
        <w:rPr>
          <w:rFonts w:ascii="Times New Roman" w:eastAsia="Times New Roman" w:hAnsi="Times New Roman" w:cs="Times New Roman"/>
          <w:i/>
          <w:sz w:val="20"/>
          <w:szCs w:val="20"/>
        </w:rPr>
        <w:t>Metaphysica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Demonstrativa</w:t>
      </w:r>
      <w:proofErr w:type="spellEnd"/>
      <w:r>
        <w:rPr>
          <w:rFonts w:ascii="Times New Roman" w:eastAsia="Times New Roman" w:hAnsi="Times New Roman" w:cs="Times New Roman"/>
          <w:sz w:val="20"/>
          <w:szCs w:val="20"/>
        </w:rPr>
        <w:t xml:space="preserve"> Prop. 31 p.22: “Contradictory predicates cannot belong to the same thing, through the axiom [mentioned above]. Therefore, neither can the virtual distinction.”  </w:t>
      </w:r>
    </w:p>
  </w:footnote>
  <w:footnote w:id="65">
    <w:p w14:paraId="000000B6"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Fabri </w:t>
      </w:r>
      <w:proofErr w:type="spellStart"/>
      <w:r>
        <w:rPr>
          <w:rFonts w:ascii="Times New Roman" w:eastAsia="Times New Roman" w:hAnsi="Times New Roman" w:cs="Times New Roman"/>
          <w:i/>
          <w:sz w:val="20"/>
          <w:szCs w:val="20"/>
        </w:rPr>
        <w:t>Metaphysica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Demonstrativa</w:t>
      </w:r>
      <w:proofErr w:type="spellEnd"/>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 xml:space="preserve">Prop. 31 p.22  </w:t>
      </w:r>
    </w:p>
  </w:footnote>
  <w:footnote w:id="66">
    <w:p w14:paraId="000000C0"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Cajetan </w:t>
      </w:r>
      <w:r>
        <w:rPr>
          <w:rFonts w:ascii="Times New Roman" w:eastAsia="Times New Roman" w:hAnsi="Times New Roman" w:cs="Times New Roman"/>
          <w:i/>
          <w:sz w:val="20"/>
          <w:szCs w:val="20"/>
        </w:rPr>
        <w:t>Commentary on the Summa</w:t>
      </w:r>
      <w:r>
        <w:rPr>
          <w:rFonts w:ascii="Times New Roman" w:eastAsia="Times New Roman" w:hAnsi="Times New Roman" w:cs="Times New Roman"/>
          <w:sz w:val="20"/>
          <w:szCs w:val="20"/>
        </w:rPr>
        <w:t xml:space="preserve"> q. 39 a. 1 VIII p. 397. “</w:t>
      </w:r>
      <w:proofErr w:type="spellStart"/>
      <w:r>
        <w:rPr>
          <w:rFonts w:ascii="Times New Roman" w:eastAsia="Times New Roman" w:hAnsi="Times New Roman" w:cs="Times New Roman"/>
          <w:sz w:val="20"/>
          <w:szCs w:val="20"/>
        </w:rPr>
        <w:t>Unde</w:t>
      </w:r>
      <w:proofErr w:type="spellEnd"/>
      <w:r>
        <w:rPr>
          <w:rFonts w:ascii="Times New Roman" w:eastAsia="Times New Roman" w:hAnsi="Times New Roman" w:cs="Times New Roman"/>
          <w:sz w:val="20"/>
          <w:szCs w:val="20"/>
        </w:rPr>
        <w:t xml:space="preserve"> ad primum Scoti, </w:t>
      </w:r>
      <w:proofErr w:type="spellStart"/>
      <w:r>
        <w:rPr>
          <w:rFonts w:ascii="Times New Roman" w:eastAsia="Times New Roman" w:hAnsi="Times New Roman" w:cs="Times New Roman"/>
          <w:sz w:val="20"/>
          <w:szCs w:val="20"/>
        </w:rPr>
        <w:t>negatur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consequentia</w:t>
      </w:r>
      <w:proofErr w:type="spellEnd"/>
      <w:r>
        <w:rPr>
          <w:rFonts w:ascii="Times New Roman" w:eastAsia="Times New Roman" w:hAnsi="Times New Roman" w:cs="Times New Roman"/>
          <w:sz w:val="20"/>
          <w:szCs w:val="20"/>
        </w:rPr>
        <w:t xml:space="preserve">.  Et ad </w:t>
      </w:r>
      <w:proofErr w:type="spellStart"/>
      <w:r>
        <w:rPr>
          <w:rFonts w:ascii="Times New Roman" w:eastAsia="Times New Roman" w:hAnsi="Times New Roman" w:cs="Times New Roman"/>
          <w:sz w:val="20"/>
          <w:szCs w:val="20"/>
        </w:rPr>
        <w:t>probationem</w:t>
      </w:r>
      <w:proofErr w:type="spellEnd"/>
      <w:r>
        <w:rPr>
          <w:rFonts w:ascii="Times New Roman" w:eastAsia="Times New Roman" w:hAnsi="Times New Roman" w:cs="Times New Roman"/>
          <w:sz w:val="20"/>
          <w:szCs w:val="20"/>
        </w:rPr>
        <w:t xml:space="preserve"> eius, </w:t>
      </w:r>
      <w:proofErr w:type="spellStart"/>
      <w:r>
        <w:rPr>
          <w:rFonts w:ascii="Times New Roman" w:eastAsia="Times New Roman" w:hAnsi="Times New Roman" w:cs="Times New Roman"/>
          <w:sz w:val="20"/>
          <w:szCs w:val="20"/>
        </w:rPr>
        <w:t>negatur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assumpta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conditionalis</w:t>
      </w:r>
      <w:proofErr w:type="spellEnd"/>
      <w:r>
        <w:rPr>
          <w:rFonts w:ascii="Times New Roman" w:eastAsia="Times New Roman" w:hAnsi="Times New Roman" w:cs="Times New Roman"/>
          <w:sz w:val="20"/>
          <w:szCs w:val="20"/>
        </w:rPr>
        <w:t xml:space="preserve">.  Ex hoc </w:t>
      </w:r>
      <w:proofErr w:type="spellStart"/>
      <w:r>
        <w:rPr>
          <w:rFonts w:ascii="Times New Roman" w:eastAsia="Times New Roman" w:hAnsi="Times New Roman" w:cs="Times New Roman"/>
          <w:sz w:val="20"/>
          <w:szCs w:val="20"/>
        </w:rPr>
        <w:t>enim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quod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unius</w:t>
      </w:r>
      <w:proofErr w:type="spellEnd"/>
      <w:r>
        <w:rPr>
          <w:rFonts w:ascii="Times New Roman" w:eastAsia="Times New Roman" w:hAnsi="Times New Roman" w:cs="Times New Roman"/>
          <w:sz w:val="20"/>
          <w:szCs w:val="20"/>
        </w:rPr>
        <w:t xml:space="preserve"> rationis in se, non sequitur, </w:t>
      </w:r>
      <w:r>
        <w:rPr>
          <w:rFonts w:ascii="Times New Roman" w:eastAsia="Times New Roman" w:hAnsi="Times New Roman" w:cs="Times New Roman"/>
          <w:i/>
          <w:sz w:val="20"/>
          <w:szCs w:val="20"/>
        </w:rPr>
        <w:t xml:space="preserve">ergo tantum </w:t>
      </w:r>
      <w:proofErr w:type="spellStart"/>
      <w:r>
        <w:rPr>
          <w:rFonts w:ascii="Times New Roman" w:eastAsia="Times New Roman" w:hAnsi="Times New Roman" w:cs="Times New Roman"/>
          <w:i/>
          <w:sz w:val="20"/>
          <w:szCs w:val="20"/>
        </w:rPr>
        <w:t>connunicabilits</w:t>
      </w:r>
      <w:proofErr w:type="spellEnd"/>
      <w:r>
        <w:rPr>
          <w:rFonts w:ascii="Times New Roman" w:eastAsia="Times New Roman" w:hAnsi="Times New Roman" w:cs="Times New Roman"/>
          <w:i/>
          <w:sz w:val="20"/>
          <w:szCs w:val="20"/>
        </w:rPr>
        <w:t xml:space="preserve"> vel tantum </w:t>
      </w:r>
      <w:proofErr w:type="spellStart"/>
      <w:r>
        <w:rPr>
          <w:rFonts w:ascii="Times New Roman" w:eastAsia="Times New Roman" w:hAnsi="Times New Roman" w:cs="Times New Roman"/>
          <w:i/>
          <w:sz w:val="20"/>
          <w:szCs w:val="20"/>
        </w:rPr>
        <w:t>incommunicabilis</w:t>
      </w:r>
      <w:proofErr w:type="spellEnd"/>
      <w:r>
        <w:rPr>
          <w:rFonts w:ascii="Times New Roman" w:eastAsia="Times New Roman" w:hAnsi="Times New Roman" w:cs="Times New Roman"/>
          <w:sz w:val="20"/>
          <w:szCs w:val="20"/>
        </w:rPr>
        <w:t xml:space="preserve">: sed stat </w:t>
      </w:r>
      <w:proofErr w:type="spellStart"/>
      <w:r>
        <w:rPr>
          <w:rFonts w:ascii="Times New Roman" w:eastAsia="Times New Roman" w:hAnsi="Times New Roman" w:cs="Times New Roman"/>
          <w:sz w:val="20"/>
          <w:szCs w:val="20"/>
        </w:rPr>
        <w:t>quod</w:t>
      </w:r>
      <w:proofErr w:type="spellEnd"/>
      <w:r>
        <w:rPr>
          <w:rFonts w:ascii="Times New Roman" w:eastAsia="Times New Roman" w:hAnsi="Times New Roman" w:cs="Times New Roman"/>
          <w:sz w:val="20"/>
          <w:szCs w:val="20"/>
        </w:rPr>
        <w:t xml:space="preserve"> sit et </w:t>
      </w:r>
      <w:proofErr w:type="spellStart"/>
      <w:r>
        <w:rPr>
          <w:rFonts w:ascii="Times New Roman" w:eastAsia="Times New Roman" w:hAnsi="Times New Roman" w:cs="Times New Roman"/>
          <w:sz w:val="20"/>
          <w:szCs w:val="20"/>
        </w:rPr>
        <w:t>communicabilis</w:t>
      </w:r>
      <w:proofErr w:type="spellEnd"/>
      <w:r>
        <w:rPr>
          <w:rFonts w:ascii="Times New Roman" w:eastAsia="Times New Roman" w:hAnsi="Times New Roman" w:cs="Times New Roman"/>
          <w:sz w:val="20"/>
          <w:szCs w:val="20"/>
        </w:rPr>
        <w:t xml:space="preserve"> et </w:t>
      </w:r>
      <w:proofErr w:type="spellStart"/>
      <w:r>
        <w:rPr>
          <w:rFonts w:ascii="Times New Roman" w:eastAsia="Times New Roman" w:hAnsi="Times New Roman" w:cs="Times New Roman"/>
          <w:sz w:val="20"/>
          <w:szCs w:val="20"/>
        </w:rPr>
        <w:t>incommunicabilis</w:t>
      </w:r>
      <w:proofErr w:type="spellEnd"/>
      <w:r>
        <w:rPr>
          <w:rFonts w:ascii="Times New Roman" w:eastAsia="Times New Roman" w:hAnsi="Times New Roman" w:cs="Times New Roman"/>
          <w:sz w:val="20"/>
          <w:szCs w:val="20"/>
        </w:rPr>
        <w:t>.”</w:t>
      </w:r>
    </w:p>
  </w:footnote>
  <w:footnote w:id="67">
    <w:p w14:paraId="000000C1"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Cajetan </w:t>
      </w:r>
      <w:r>
        <w:rPr>
          <w:rFonts w:ascii="Times New Roman" w:eastAsia="Times New Roman" w:hAnsi="Times New Roman" w:cs="Times New Roman"/>
          <w:i/>
          <w:sz w:val="20"/>
          <w:szCs w:val="20"/>
        </w:rPr>
        <w:t>Commentary on the Summa</w:t>
      </w:r>
      <w:r>
        <w:rPr>
          <w:rFonts w:ascii="Times New Roman" w:eastAsia="Times New Roman" w:hAnsi="Times New Roman" w:cs="Times New Roman"/>
          <w:sz w:val="20"/>
          <w:szCs w:val="20"/>
        </w:rPr>
        <w:t xml:space="preserve"> q. 39 a. 1 VIII p. </w:t>
      </w:r>
      <w:proofErr w:type="gramStart"/>
      <w:r>
        <w:rPr>
          <w:rFonts w:ascii="Times New Roman" w:eastAsia="Times New Roman" w:hAnsi="Times New Roman" w:cs="Times New Roman"/>
          <w:sz w:val="20"/>
          <w:szCs w:val="20"/>
        </w:rPr>
        <w:t>397  “</w:t>
      </w:r>
      <w:proofErr w:type="spellStart"/>
      <w:proofErr w:type="gramEnd"/>
      <w:r>
        <w:rPr>
          <w:rFonts w:ascii="Times New Roman" w:eastAsia="Times New Roman" w:hAnsi="Times New Roman" w:cs="Times New Roman"/>
          <w:sz w:val="20"/>
          <w:szCs w:val="20"/>
        </w:rPr>
        <w:t>Nec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mirabilius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unicam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rationem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formalem</w:t>
      </w:r>
      <w:proofErr w:type="spellEnd"/>
      <w:r>
        <w:rPr>
          <w:rFonts w:ascii="Times New Roman" w:eastAsia="Times New Roman" w:hAnsi="Times New Roman" w:cs="Times New Roman"/>
          <w:sz w:val="20"/>
          <w:szCs w:val="20"/>
        </w:rPr>
        <w:t xml:space="preserve"> habere </w:t>
      </w:r>
      <w:proofErr w:type="spellStart"/>
      <w:r>
        <w:rPr>
          <w:rFonts w:ascii="Times New Roman" w:eastAsia="Times New Roman" w:hAnsi="Times New Roman" w:cs="Times New Roman"/>
          <w:sz w:val="20"/>
          <w:szCs w:val="20"/>
        </w:rPr>
        <w:t>utrumque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quam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unicam</w:t>
      </w:r>
      <w:proofErr w:type="spellEnd"/>
      <w:r>
        <w:rPr>
          <w:rFonts w:ascii="Times New Roman" w:eastAsia="Times New Roman" w:hAnsi="Times New Roman" w:cs="Times New Roman"/>
          <w:sz w:val="20"/>
          <w:szCs w:val="20"/>
        </w:rPr>
        <w:t xml:space="preserve"> rem: imo </w:t>
      </w:r>
      <w:proofErr w:type="spellStart"/>
      <w:r>
        <w:rPr>
          <w:rFonts w:ascii="Times New Roman" w:eastAsia="Times New Roman" w:hAnsi="Times New Roman" w:cs="Times New Roman"/>
          <w:sz w:val="20"/>
          <w:szCs w:val="20"/>
        </w:rPr>
        <w:t>illud</w:t>
      </w:r>
      <w:proofErr w:type="spellEnd"/>
      <w:r>
        <w:rPr>
          <w:rFonts w:ascii="Times New Roman" w:eastAsia="Times New Roman" w:hAnsi="Times New Roman" w:cs="Times New Roman"/>
          <w:sz w:val="20"/>
          <w:szCs w:val="20"/>
        </w:rPr>
        <w:t xml:space="preserve">, secundum </w:t>
      </w:r>
      <w:proofErr w:type="spellStart"/>
      <w:r>
        <w:rPr>
          <w:rFonts w:ascii="Times New Roman" w:eastAsia="Times New Roman" w:hAnsi="Times New Roman" w:cs="Times New Roman"/>
          <w:sz w:val="20"/>
          <w:szCs w:val="20"/>
        </w:rPr>
        <w:t>rectam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philosophiam</w:t>
      </w:r>
      <w:proofErr w:type="spellEnd"/>
      <w:r>
        <w:rPr>
          <w:rFonts w:ascii="Times New Roman" w:eastAsia="Times New Roman" w:hAnsi="Times New Roman" w:cs="Times New Roman"/>
          <w:sz w:val="20"/>
          <w:szCs w:val="20"/>
        </w:rPr>
        <w:t xml:space="preserve">, sequitur ex hoc </w:t>
      </w:r>
      <w:proofErr w:type="spellStart"/>
      <w:r>
        <w:rPr>
          <w:rFonts w:ascii="Times New Roman" w:eastAsia="Times New Roman" w:hAnsi="Times New Roman" w:cs="Times New Roman"/>
          <w:sz w:val="20"/>
          <w:szCs w:val="20"/>
        </w:rPr>
        <w:t>posito</w:t>
      </w:r>
      <w:proofErr w:type="spellEnd"/>
      <w:r>
        <w:rPr>
          <w:rFonts w:ascii="Times New Roman" w:eastAsia="Times New Roman" w:hAnsi="Times New Roman" w:cs="Times New Roman"/>
          <w:sz w:val="20"/>
          <w:szCs w:val="20"/>
        </w:rPr>
        <w:t xml:space="preserve"> per </w:t>
      </w:r>
      <w:proofErr w:type="spellStart"/>
      <w:r>
        <w:rPr>
          <w:rFonts w:ascii="Times New Roman" w:eastAsia="Times New Roman" w:hAnsi="Times New Roman" w:cs="Times New Roman"/>
          <w:sz w:val="20"/>
          <w:szCs w:val="20"/>
        </w:rPr>
        <w:t>fidem</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Poteris</w:t>
      </w:r>
      <w:proofErr w:type="spellEnd"/>
      <w:r>
        <w:rPr>
          <w:rFonts w:ascii="Times New Roman" w:eastAsia="Times New Roman" w:hAnsi="Times New Roman" w:cs="Times New Roman"/>
          <w:sz w:val="20"/>
          <w:szCs w:val="20"/>
        </w:rPr>
        <w:t xml:space="preserve"> quoque </w:t>
      </w:r>
      <w:proofErr w:type="spellStart"/>
      <w:r>
        <w:rPr>
          <w:rFonts w:ascii="Times New Roman" w:eastAsia="Times New Roman" w:hAnsi="Times New Roman" w:cs="Times New Roman"/>
          <w:sz w:val="20"/>
          <w:szCs w:val="20"/>
        </w:rPr>
        <w:t>novitiis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distinguere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illam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conditionalem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dicendo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quod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est</w:t>
      </w:r>
      <w:proofErr w:type="spellEnd"/>
      <w:r>
        <w:rPr>
          <w:rFonts w:ascii="Times New Roman" w:eastAsia="Times New Roman" w:hAnsi="Times New Roman" w:cs="Times New Roman"/>
          <w:sz w:val="20"/>
          <w:szCs w:val="20"/>
        </w:rPr>
        <w:t xml:space="preserve"> vera de </w:t>
      </w:r>
      <w:proofErr w:type="spellStart"/>
      <w:r>
        <w:rPr>
          <w:rFonts w:ascii="Times New Roman" w:eastAsia="Times New Roman" w:hAnsi="Times New Roman" w:cs="Times New Roman"/>
          <w:sz w:val="20"/>
          <w:szCs w:val="20"/>
        </w:rPr>
        <w:t>una</w:t>
      </w:r>
      <w:proofErr w:type="spellEnd"/>
      <w:r>
        <w:rPr>
          <w:rFonts w:ascii="Times New Roman" w:eastAsia="Times New Roman" w:hAnsi="Times New Roman" w:cs="Times New Roman"/>
          <w:sz w:val="20"/>
          <w:szCs w:val="20"/>
        </w:rPr>
        <w:t xml:space="preserve"> ratione </w:t>
      </w:r>
      <w:proofErr w:type="spellStart"/>
      <w:r>
        <w:rPr>
          <w:rFonts w:ascii="Times New Roman" w:eastAsia="Times New Roman" w:hAnsi="Times New Roman" w:cs="Times New Roman"/>
          <w:sz w:val="20"/>
          <w:szCs w:val="20"/>
        </w:rPr>
        <w:t>formali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limitata</w:t>
      </w:r>
      <w:proofErr w:type="spellEnd"/>
      <w:r>
        <w:rPr>
          <w:rFonts w:ascii="Times New Roman" w:eastAsia="Times New Roman" w:hAnsi="Times New Roman" w:cs="Times New Roman"/>
          <w:sz w:val="20"/>
          <w:szCs w:val="20"/>
        </w:rPr>
        <w:t xml:space="preserve">; non autem de </w:t>
      </w:r>
      <w:proofErr w:type="spellStart"/>
      <w:r>
        <w:rPr>
          <w:rFonts w:ascii="Times New Roman" w:eastAsia="Times New Roman" w:hAnsi="Times New Roman" w:cs="Times New Roman"/>
          <w:sz w:val="20"/>
          <w:szCs w:val="20"/>
        </w:rPr>
        <w:t>illimitata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ut</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proposito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contingit</w:t>
      </w:r>
      <w:proofErr w:type="spellEnd"/>
      <w:r>
        <w:rPr>
          <w:rFonts w:ascii="Times New Roman" w:eastAsia="Times New Roman" w:hAnsi="Times New Roman" w:cs="Times New Roman"/>
          <w:sz w:val="20"/>
          <w:szCs w:val="20"/>
        </w:rPr>
        <w:t>.”</w:t>
      </w:r>
    </w:p>
  </w:footnote>
  <w:footnote w:id="68">
    <w:p w14:paraId="000000D2"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John of St. Thomas </w:t>
      </w:r>
      <w:r>
        <w:rPr>
          <w:rFonts w:ascii="Times New Roman" w:eastAsia="Times New Roman" w:hAnsi="Times New Roman" w:cs="Times New Roman"/>
          <w:i/>
          <w:sz w:val="20"/>
          <w:szCs w:val="20"/>
        </w:rPr>
        <w:t xml:space="preserve">Cursus </w:t>
      </w:r>
      <w:proofErr w:type="spellStart"/>
      <w:r>
        <w:rPr>
          <w:rFonts w:ascii="Times New Roman" w:eastAsia="Times New Roman" w:hAnsi="Times New Roman" w:cs="Times New Roman"/>
          <w:i/>
          <w:sz w:val="20"/>
          <w:szCs w:val="20"/>
        </w:rPr>
        <w:t>Philosophicus</w:t>
      </w:r>
      <w:proofErr w:type="spellEnd"/>
      <w:r>
        <w:rPr>
          <w:rFonts w:ascii="Times New Roman" w:eastAsia="Times New Roman" w:hAnsi="Times New Roman" w:cs="Times New Roman"/>
          <w:sz w:val="20"/>
          <w:szCs w:val="20"/>
        </w:rPr>
        <w:t xml:space="preserve"> Logica q. 2 a. 3 p. 111</w:t>
      </w:r>
    </w:p>
  </w:footnote>
  <w:footnote w:id="69">
    <w:p w14:paraId="00000101"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Arriaga, </w:t>
      </w:r>
      <w:r>
        <w:rPr>
          <w:rFonts w:ascii="Times New Roman" w:eastAsia="Times New Roman" w:hAnsi="Times New Roman" w:cs="Times New Roman"/>
          <w:i/>
          <w:sz w:val="20"/>
          <w:szCs w:val="20"/>
        </w:rPr>
        <w:t xml:space="preserve">Cursus </w:t>
      </w:r>
      <w:proofErr w:type="spellStart"/>
      <w:r>
        <w:rPr>
          <w:rFonts w:ascii="Times New Roman" w:eastAsia="Times New Roman" w:hAnsi="Times New Roman" w:cs="Times New Roman"/>
          <w:i/>
          <w:sz w:val="20"/>
          <w:szCs w:val="20"/>
        </w:rPr>
        <w:t>Theologicus</w:t>
      </w:r>
      <w:proofErr w:type="spellEnd"/>
      <w:r>
        <w:rPr>
          <w:rFonts w:ascii="Times New Roman" w:eastAsia="Times New Roman" w:hAnsi="Times New Roman" w:cs="Times New Roman"/>
          <w:sz w:val="20"/>
          <w:szCs w:val="20"/>
        </w:rPr>
        <w:t xml:space="preserve"> d. 42, </w:t>
      </w:r>
      <w:proofErr w:type="spellStart"/>
      <w:r>
        <w:rPr>
          <w:rFonts w:ascii="Times New Roman" w:eastAsia="Times New Roman" w:hAnsi="Times New Roman" w:cs="Times New Roman"/>
          <w:sz w:val="20"/>
          <w:szCs w:val="20"/>
        </w:rPr>
        <w:t>sectio</w:t>
      </w:r>
      <w:proofErr w:type="spellEnd"/>
      <w:r>
        <w:rPr>
          <w:rFonts w:ascii="Times New Roman" w:eastAsia="Times New Roman" w:hAnsi="Times New Roman" w:cs="Times New Roman"/>
          <w:sz w:val="20"/>
          <w:szCs w:val="20"/>
        </w:rPr>
        <w:t xml:space="preserve"> I, n. 6-8, p. 440-441. “Ergo </w:t>
      </w:r>
      <w:proofErr w:type="spellStart"/>
      <w:r>
        <w:rPr>
          <w:rFonts w:ascii="Times New Roman" w:eastAsia="Times New Roman" w:hAnsi="Times New Roman" w:cs="Times New Roman"/>
          <w:sz w:val="20"/>
          <w:szCs w:val="20"/>
        </w:rPr>
        <w:t>duabus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formalitatibus</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parte</w:t>
      </w:r>
      <w:proofErr w:type="spellEnd"/>
      <w:r>
        <w:rPr>
          <w:rFonts w:ascii="Times New Roman" w:eastAsia="Times New Roman" w:hAnsi="Times New Roman" w:cs="Times New Roman"/>
          <w:sz w:val="20"/>
          <w:szCs w:val="20"/>
        </w:rPr>
        <w:t xml:space="preserve"> rei </w:t>
      </w:r>
      <w:proofErr w:type="spellStart"/>
      <w:r>
        <w:rPr>
          <w:rFonts w:ascii="Times New Roman" w:eastAsia="Times New Roman" w:hAnsi="Times New Roman" w:cs="Times New Roman"/>
          <w:sz w:val="20"/>
          <w:szCs w:val="20"/>
        </w:rPr>
        <w:t>praeexistantibus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relictis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dicendum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distinctionem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hanc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virtualem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consistere</w:t>
      </w:r>
      <w:proofErr w:type="spellEnd"/>
      <w:r>
        <w:rPr>
          <w:rFonts w:ascii="Times New Roman" w:eastAsia="Times New Roman" w:hAnsi="Times New Roman" w:cs="Times New Roman"/>
          <w:sz w:val="20"/>
          <w:szCs w:val="20"/>
        </w:rPr>
        <w:t xml:space="preserve"> precise in </w:t>
      </w:r>
      <w:proofErr w:type="spellStart"/>
      <w:r>
        <w:rPr>
          <w:rFonts w:ascii="Times New Roman" w:eastAsia="Times New Roman" w:hAnsi="Times New Roman" w:cs="Times New Roman"/>
          <w:sz w:val="20"/>
          <w:szCs w:val="20"/>
        </w:rPr>
        <w:t>eo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quod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eidem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indivisibili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entitati</w:t>
      </w:r>
      <w:proofErr w:type="spellEnd"/>
      <w:r>
        <w:rPr>
          <w:rFonts w:ascii="Times New Roman" w:eastAsia="Times New Roman" w:hAnsi="Times New Roman" w:cs="Times New Roman"/>
          <w:sz w:val="20"/>
          <w:szCs w:val="20"/>
        </w:rPr>
        <w:t xml:space="preserve">, et </w:t>
      </w:r>
      <w:proofErr w:type="spellStart"/>
      <w:r>
        <w:rPr>
          <w:rFonts w:ascii="Times New Roman" w:eastAsia="Times New Roman" w:hAnsi="Times New Roman" w:cs="Times New Roman"/>
          <w:sz w:val="20"/>
          <w:szCs w:val="20"/>
        </w:rPr>
        <w:t>formalitati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uni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reali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vere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tamen</w:t>
      </w:r>
      <w:proofErr w:type="spellEnd"/>
      <w:r>
        <w:rPr>
          <w:rFonts w:ascii="Times New Roman" w:eastAsia="Times New Roman" w:hAnsi="Times New Roman" w:cs="Times New Roman"/>
          <w:sz w:val="20"/>
          <w:szCs w:val="20"/>
        </w:rPr>
        <w:t xml:space="preserve"> &amp; realtor convenient duo </w:t>
      </w:r>
      <w:proofErr w:type="spellStart"/>
      <w:r>
        <w:rPr>
          <w:rFonts w:ascii="Times New Roman" w:eastAsia="Times New Roman" w:hAnsi="Times New Roman" w:cs="Times New Roman"/>
          <w:sz w:val="20"/>
          <w:szCs w:val="20"/>
        </w:rPr>
        <w:t>praedicta</w:t>
      </w:r>
      <w:proofErr w:type="spellEnd"/>
      <w:r>
        <w:rPr>
          <w:rFonts w:ascii="Times New Roman" w:eastAsia="Times New Roman" w:hAnsi="Times New Roman" w:cs="Times New Roman"/>
          <w:sz w:val="20"/>
          <w:szCs w:val="20"/>
        </w:rPr>
        <w:t xml:space="preserve"> ex se </w:t>
      </w:r>
      <w:proofErr w:type="spellStart"/>
      <w:r>
        <w:rPr>
          <w:rFonts w:ascii="Times New Roman" w:eastAsia="Times New Roman" w:hAnsi="Times New Roman" w:cs="Times New Roman"/>
          <w:sz w:val="20"/>
          <w:szCs w:val="20"/>
        </w:rPr>
        <w:t>contradictoria</w:t>
      </w:r>
      <w:proofErr w:type="spellEnd"/>
      <w:r>
        <w:rPr>
          <w:rFonts w:ascii="Times New Roman" w:eastAsia="Times New Roman" w:hAnsi="Times New Roman" w:cs="Times New Roman"/>
          <w:sz w:val="20"/>
          <w:szCs w:val="20"/>
        </w:rPr>
        <w:t xml:space="preserve">, qualia sunt </w:t>
      </w:r>
      <w:proofErr w:type="spellStart"/>
      <w:r>
        <w:rPr>
          <w:rFonts w:ascii="Times New Roman" w:eastAsia="Times New Roman" w:hAnsi="Times New Roman" w:cs="Times New Roman"/>
          <w:sz w:val="20"/>
          <w:szCs w:val="20"/>
        </w:rPr>
        <w:t>produci</w:t>
      </w:r>
      <w:proofErr w:type="spellEnd"/>
      <w:r>
        <w:rPr>
          <w:rFonts w:ascii="Times New Roman" w:eastAsia="Times New Roman" w:hAnsi="Times New Roman" w:cs="Times New Roman"/>
          <w:sz w:val="20"/>
          <w:szCs w:val="20"/>
        </w:rPr>
        <w:t xml:space="preserve"> et non </w:t>
      </w:r>
      <w:proofErr w:type="spellStart"/>
      <w:r>
        <w:rPr>
          <w:rFonts w:ascii="Times New Roman" w:eastAsia="Times New Roman" w:hAnsi="Times New Roman" w:cs="Times New Roman"/>
          <w:sz w:val="20"/>
          <w:szCs w:val="20"/>
        </w:rPr>
        <w:t>produci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communicari</w:t>
      </w:r>
      <w:proofErr w:type="spellEnd"/>
      <w:r>
        <w:rPr>
          <w:rFonts w:ascii="Times New Roman" w:eastAsia="Times New Roman" w:hAnsi="Times New Roman" w:cs="Times New Roman"/>
          <w:sz w:val="20"/>
          <w:szCs w:val="20"/>
        </w:rPr>
        <w:t xml:space="preserve"> &amp; non </w:t>
      </w:r>
      <w:proofErr w:type="spellStart"/>
      <w:r>
        <w:rPr>
          <w:rFonts w:ascii="Times New Roman" w:eastAsia="Times New Roman" w:hAnsi="Times New Roman" w:cs="Times New Roman"/>
          <w:sz w:val="20"/>
          <w:szCs w:val="20"/>
        </w:rPr>
        <w:t>communicari</w:t>
      </w:r>
      <w:proofErr w:type="spellEnd"/>
      <w:r>
        <w:rPr>
          <w:rFonts w:ascii="Times New Roman" w:eastAsia="Times New Roman" w:hAnsi="Times New Roman" w:cs="Times New Roman"/>
          <w:sz w:val="20"/>
          <w:szCs w:val="20"/>
        </w:rPr>
        <w:t>, &amp;c….</w:t>
      </w:r>
      <w:proofErr w:type="spellStart"/>
      <w:r>
        <w:rPr>
          <w:rFonts w:ascii="Times New Roman" w:eastAsia="Times New Roman" w:hAnsi="Times New Roman" w:cs="Times New Roman"/>
          <w:sz w:val="20"/>
          <w:szCs w:val="20"/>
        </w:rPr>
        <w:t>Nec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mirum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si</w:t>
      </w:r>
      <w:proofErr w:type="spellEnd"/>
      <w:r>
        <w:rPr>
          <w:rFonts w:ascii="Times New Roman" w:eastAsia="Times New Roman" w:hAnsi="Times New Roman" w:cs="Times New Roman"/>
          <w:sz w:val="20"/>
          <w:szCs w:val="20"/>
        </w:rPr>
        <w:t xml:space="preserve"> non </w:t>
      </w:r>
      <w:proofErr w:type="spellStart"/>
      <w:r>
        <w:rPr>
          <w:rFonts w:ascii="Times New Roman" w:eastAsia="Times New Roman" w:hAnsi="Times New Roman" w:cs="Times New Roman"/>
          <w:sz w:val="20"/>
          <w:szCs w:val="20"/>
        </w:rPr>
        <w:t>claram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possimus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adhibere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solutionem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consistit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enim</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eo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tota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abstrusissimi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sancitissimae</w:t>
      </w:r>
      <w:proofErr w:type="spellEnd"/>
      <w:r>
        <w:rPr>
          <w:rFonts w:ascii="Times New Roman" w:eastAsia="Times New Roman" w:hAnsi="Times New Roman" w:cs="Times New Roman"/>
          <w:sz w:val="20"/>
          <w:szCs w:val="20"/>
        </w:rPr>
        <w:t xml:space="preserve"> Trinitatis </w:t>
      </w:r>
      <w:proofErr w:type="spellStart"/>
      <w:r>
        <w:rPr>
          <w:rFonts w:ascii="Times New Roman" w:eastAsia="Times New Roman" w:hAnsi="Times New Roman" w:cs="Times New Roman"/>
          <w:sz w:val="20"/>
          <w:szCs w:val="20"/>
        </w:rPr>
        <w:t>mysterii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difficultas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quae</w:t>
      </w:r>
      <w:proofErr w:type="spellEnd"/>
      <w:r>
        <w:rPr>
          <w:rFonts w:ascii="Times New Roman" w:eastAsia="Times New Roman" w:hAnsi="Times New Roman" w:cs="Times New Roman"/>
          <w:sz w:val="20"/>
          <w:szCs w:val="20"/>
        </w:rPr>
        <w:t xml:space="preserve"> sola ad </w:t>
      </w:r>
      <w:proofErr w:type="spellStart"/>
      <w:r>
        <w:rPr>
          <w:rFonts w:ascii="Times New Roman" w:eastAsia="Times New Roman" w:hAnsi="Times New Roman" w:cs="Times New Roman"/>
          <w:sz w:val="20"/>
          <w:szCs w:val="20"/>
        </w:rPr>
        <w:t>hanc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distinctionem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ponendam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nos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cogit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necessario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paulo</w:t>
      </w:r>
      <w:proofErr w:type="spellEnd"/>
      <w:r>
        <w:rPr>
          <w:rFonts w:ascii="Times New Roman" w:eastAsia="Times New Roman" w:hAnsi="Times New Roman" w:cs="Times New Roman"/>
          <w:sz w:val="20"/>
          <w:szCs w:val="20"/>
        </w:rPr>
        <w:t xml:space="preserve"> post </w:t>
      </w:r>
      <w:proofErr w:type="spellStart"/>
      <w:r>
        <w:rPr>
          <w:rFonts w:ascii="Times New Roman" w:eastAsia="Times New Roman" w:hAnsi="Times New Roman" w:cs="Times New Roman"/>
          <w:sz w:val="20"/>
          <w:szCs w:val="20"/>
        </w:rPr>
        <w:t>dicemus</w:t>
      </w:r>
      <w:proofErr w:type="spellEnd"/>
      <w:r>
        <w:rPr>
          <w:rFonts w:ascii="Times New Roman" w:eastAsia="Times New Roman" w:hAnsi="Times New Roman" w:cs="Times New Roman"/>
          <w:sz w:val="20"/>
          <w:szCs w:val="20"/>
        </w:rPr>
        <w:t>.”</w:t>
      </w:r>
    </w:p>
  </w:footnote>
  <w:footnote w:id="70">
    <w:p w14:paraId="000000CF"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Really, commitment to </w:t>
      </w:r>
      <w:proofErr w:type="spellStart"/>
      <w:r>
        <w:rPr>
          <w:rFonts w:ascii="Times New Roman" w:eastAsia="Times New Roman" w:hAnsi="Times New Roman" w:cs="Times New Roman"/>
          <w:sz w:val="20"/>
          <w:szCs w:val="20"/>
        </w:rPr>
        <w:t>Disquotation</w:t>
      </w:r>
      <w:proofErr w:type="spellEnd"/>
      <w:r>
        <w:rPr>
          <w:rFonts w:ascii="Times New Roman" w:eastAsia="Times New Roman" w:hAnsi="Times New Roman" w:cs="Times New Roman"/>
          <w:sz w:val="20"/>
          <w:szCs w:val="20"/>
        </w:rPr>
        <w:t xml:space="preserve"> in general is not needed; commitment to just the relevant instances of </w:t>
      </w:r>
      <w:proofErr w:type="spellStart"/>
      <w:r>
        <w:rPr>
          <w:rFonts w:ascii="Times New Roman" w:eastAsia="Times New Roman" w:hAnsi="Times New Roman" w:cs="Times New Roman"/>
          <w:sz w:val="20"/>
          <w:szCs w:val="20"/>
        </w:rPr>
        <w:t>Disquotation</w:t>
      </w:r>
      <w:proofErr w:type="spellEnd"/>
      <w:r>
        <w:rPr>
          <w:rFonts w:ascii="Times New Roman" w:eastAsia="Times New Roman" w:hAnsi="Times New Roman" w:cs="Times New Roman"/>
          <w:sz w:val="20"/>
          <w:szCs w:val="20"/>
        </w:rPr>
        <w:t xml:space="preserve"> would do just as well. Granted the point, we ignore it in what follows.</w:t>
      </w:r>
    </w:p>
  </w:footnote>
  <w:footnote w:id="71">
    <w:p w14:paraId="000000DB"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Oviedo takes a similar line to Arriaga. See </w:t>
      </w:r>
      <w:r>
        <w:rPr>
          <w:rFonts w:ascii="Times New Roman" w:eastAsia="Times New Roman" w:hAnsi="Times New Roman" w:cs="Times New Roman"/>
          <w:i/>
          <w:sz w:val="20"/>
          <w:szCs w:val="20"/>
        </w:rPr>
        <w:t xml:space="preserve">Cursus </w:t>
      </w:r>
      <w:proofErr w:type="spellStart"/>
      <w:r>
        <w:rPr>
          <w:rFonts w:ascii="Times New Roman" w:eastAsia="Times New Roman" w:hAnsi="Times New Roman" w:cs="Times New Roman"/>
          <w:i/>
          <w:sz w:val="20"/>
          <w:szCs w:val="20"/>
        </w:rPr>
        <w:t>Philosophicus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Metaphysica</w:t>
      </w:r>
      <w:proofErr w:type="spellEnd"/>
      <w:r>
        <w:rPr>
          <w:rFonts w:ascii="Times New Roman" w:eastAsia="Times New Roman" w:hAnsi="Times New Roman" w:cs="Times New Roman"/>
          <w:sz w:val="20"/>
          <w:szCs w:val="20"/>
        </w:rPr>
        <w:t xml:space="preserve"> c. 4 p. 4 s. 2 n. 3-12 p. 261-263.</w:t>
      </w:r>
    </w:p>
  </w:footnote>
  <w:footnote w:id="72">
    <w:p w14:paraId="000000D8"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Arriaga </w:t>
      </w:r>
      <w:r>
        <w:rPr>
          <w:rFonts w:ascii="Times New Roman" w:eastAsia="Times New Roman" w:hAnsi="Times New Roman" w:cs="Times New Roman"/>
          <w:i/>
          <w:sz w:val="20"/>
          <w:szCs w:val="20"/>
        </w:rPr>
        <w:t xml:space="preserve">Cursus </w:t>
      </w:r>
      <w:proofErr w:type="spellStart"/>
      <w:r>
        <w:rPr>
          <w:rFonts w:ascii="Times New Roman" w:eastAsia="Times New Roman" w:hAnsi="Times New Roman" w:cs="Times New Roman"/>
          <w:i/>
          <w:sz w:val="20"/>
          <w:szCs w:val="20"/>
        </w:rPr>
        <w:t>Theologicus</w:t>
      </w:r>
      <w:proofErr w:type="spellEnd"/>
      <w:r>
        <w:rPr>
          <w:rFonts w:ascii="Times New Roman" w:eastAsia="Times New Roman" w:hAnsi="Times New Roman" w:cs="Times New Roman"/>
          <w:sz w:val="20"/>
          <w:szCs w:val="20"/>
        </w:rPr>
        <w:t xml:space="preserve"> d. 42, </w:t>
      </w:r>
      <w:proofErr w:type="spellStart"/>
      <w:r>
        <w:rPr>
          <w:rFonts w:ascii="Times New Roman" w:eastAsia="Times New Roman" w:hAnsi="Times New Roman" w:cs="Times New Roman"/>
          <w:sz w:val="20"/>
          <w:szCs w:val="20"/>
        </w:rPr>
        <w:t>sectio</w:t>
      </w:r>
      <w:proofErr w:type="spellEnd"/>
      <w:r>
        <w:rPr>
          <w:rFonts w:ascii="Times New Roman" w:eastAsia="Times New Roman" w:hAnsi="Times New Roman" w:cs="Times New Roman"/>
          <w:sz w:val="20"/>
          <w:szCs w:val="20"/>
        </w:rPr>
        <w:t xml:space="preserve"> I, n. 7, p. 440.</w:t>
      </w:r>
    </w:p>
  </w:footnote>
  <w:footnote w:id="73">
    <w:p w14:paraId="00000102"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Arriaga </w:t>
      </w:r>
      <w:r>
        <w:rPr>
          <w:rFonts w:ascii="Times New Roman" w:eastAsia="Times New Roman" w:hAnsi="Times New Roman" w:cs="Times New Roman"/>
          <w:i/>
          <w:sz w:val="20"/>
          <w:szCs w:val="20"/>
        </w:rPr>
        <w:t xml:space="preserve">Cursus </w:t>
      </w:r>
      <w:proofErr w:type="spellStart"/>
      <w:r>
        <w:rPr>
          <w:rFonts w:ascii="Times New Roman" w:eastAsia="Times New Roman" w:hAnsi="Times New Roman" w:cs="Times New Roman"/>
          <w:i/>
          <w:sz w:val="20"/>
          <w:szCs w:val="20"/>
        </w:rPr>
        <w:t>Theologicus</w:t>
      </w:r>
      <w:proofErr w:type="spellEnd"/>
      <w:r>
        <w:rPr>
          <w:rFonts w:ascii="Times New Roman" w:eastAsia="Times New Roman" w:hAnsi="Times New Roman" w:cs="Times New Roman"/>
          <w:sz w:val="20"/>
          <w:szCs w:val="20"/>
        </w:rPr>
        <w:t xml:space="preserve"> d. 42, </w:t>
      </w:r>
      <w:proofErr w:type="spellStart"/>
      <w:r>
        <w:rPr>
          <w:rFonts w:ascii="Times New Roman" w:eastAsia="Times New Roman" w:hAnsi="Times New Roman" w:cs="Times New Roman"/>
          <w:sz w:val="20"/>
          <w:szCs w:val="20"/>
        </w:rPr>
        <w:t>sectio</w:t>
      </w:r>
      <w:proofErr w:type="spellEnd"/>
      <w:r>
        <w:rPr>
          <w:rFonts w:ascii="Times New Roman" w:eastAsia="Times New Roman" w:hAnsi="Times New Roman" w:cs="Times New Roman"/>
          <w:sz w:val="20"/>
          <w:szCs w:val="20"/>
        </w:rPr>
        <w:t xml:space="preserve"> I, n. 7, p. 440. “Non sunt </w:t>
      </w:r>
      <w:proofErr w:type="spellStart"/>
      <w:r>
        <w:rPr>
          <w:rFonts w:ascii="Times New Roman" w:eastAsia="Times New Roman" w:hAnsi="Times New Roman" w:cs="Times New Roman"/>
          <w:sz w:val="20"/>
          <w:szCs w:val="20"/>
        </w:rPr>
        <w:t>formaliter</w:t>
      </w:r>
      <w:proofErr w:type="spellEnd"/>
      <w:r>
        <w:rPr>
          <w:rFonts w:ascii="Times New Roman" w:eastAsia="Times New Roman" w:hAnsi="Times New Roman" w:cs="Times New Roman"/>
          <w:sz w:val="20"/>
          <w:szCs w:val="20"/>
        </w:rPr>
        <w:t xml:space="preserve"> et </w:t>
      </w:r>
      <w:proofErr w:type="spellStart"/>
      <w:r>
        <w:rPr>
          <w:rFonts w:ascii="Times New Roman" w:eastAsia="Times New Roman" w:hAnsi="Times New Roman" w:cs="Times New Roman"/>
          <w:sz w:val="20"/>
          <w:szCs w:val="20"/>
        </w:rPr>
        <w:t>actu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contradictoria</w:t>
      </w:r>
      <w:proofErr w:type="spellEnd"/>
      <w:r>
        <w:rPr>
          <w:rFonts w:ascii="Times New Roman" w:eastAsia="Times New Roman" w:hAnsi="Times New Roman" w:cs="Times New Roman"/>
          <w:sz w:val="20"/>
          <w:szCs w:val="20"/>
        </w:rPr>
        <w:t xml:space="preserve">, hoc </w:t>
      </w:r>
      <w:proofErr w:type="spellStart"/>
      <w:r>
        <w:rPr>
          <w:rFonts w:ascii="Times New Roman" w:eastAsia="Times New Roman" w:hAnsi="Times New Roman" w:cs="Times New Roman"/>
          <w:sz w:val="20"/>
          <w:szCs w:val="20"/>
        </w:rPr>
        <w:t>est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repugnantia</w:t>
      </w:r>
      <w:proofErr w:type="spellEnd"/>
      <w:r>
        <w:rPr>
          <w:rFonts w:ascii="Times New Roman" w:eastAsia="Times New Roman" w:hAnsi="Times New Roman" w:cs="Times New Roman"/>
          <w:sz w:val="20"/>
          <w:szCs w:val="20"/>
        </w:rPr>
        <w:t xml:space="preserve">…sicut </w:t>
      </w:r>
      <w:proofErr w:type="spellStart"/>
      <w:r>
        <w:rPr>
          <w:rFonts w:ascii="Times New Roman" w:eastAsia="Times New Roman" w:hAnsi="Times New Roman" w:cs="Times New Roman"/>
          <w:sz w:val="20"/>
          <w:szCs w:val="20"/>
        </w:rPr>
        <w:t>enim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currere</w:t>
      </w:r>
      <w:proofErr w:type="spellEnd"/>
      <w:r>
        <w:rPr>
          <w:rFonts w:ascii="Times New Roman" w:eastAsia="Times New Roman" w:hAnsi="Times New Roman" w:cs="Times New Roman"/>
          <w:sz w:val="20"/>
          <w:szCs w:val="20"/>
        </w:rPr>
        <w:t xml:space="preserve">, et non </w:t>
      </w:r>
      <w:proofErr w:type="spellStart"/>
      <w:r>
        <w:rPr>
          <w:rFonts w:ascii="Times New Roman" w:eastAsia="Times New Roman" w:hAnsi="Times New Roman" w:cs="Times New Roman"/>
          <w:sz w:val="20"/>
          <w:szCs w:val="20"/>
        </w:rPr>
        <w:t>currere</w:t>
      </w:r>
      <w:proofErr w:type="spellEnd"/>
      <w:r>
        <w:rPr>
          <w:rFonts w:ascii="Times New Roman" w:eastAsia="Times New Roman" w:hAnsi="Times New Roman" w:cs="Times New Roman"/>
          <w:sz w:val="20"/>
          <w:szCs w:val="20"/>
        </w:rPr>
        <w:t xml:space="preserve">, ex se sunt </w:t>
      </w:r>
      <w:proofErr w:type="spellStart"/>
      <w:r>
        <w:rPr>
          <w:rFonts w:ascii="Times New Roman" w:eastAsia="Times New Roman" w:hAnsi="Times New Roman" w:cs="Times New Roman"/>
          <w:sz w:val="20"/>
          <w:szCs w:val="20"/>
        </w:rPr>
        <w:t>praedicata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contradictoria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si</w:t>
      </w:r>
      <w:proofErr w:type="spellEnd"/>
      <w:r>
        <w:rPr>
          <w:rFonts w:ascii="Times New Roman" w:eastAsia="Times New Roman" w:hAnsi="Times New Roman" w:cs="Times New Roman"/>
          <w:sz w:val="20"/>
          <w:szCs w:val="20"/>
        </w:rPr>
        <w:t xml:space="preserve"> autem </w:t>
      </w:r>
      <w:proofErr w:type="spellStart"/>
      <w:r>
        <w:rPr>
          <w:rFonts w:ascii="Times New Roman" w:eastAsia="Times New Roman" w:hAnsi="Times New Roman" w:cs="Times New Roman"/>
          <w:sz w:val="20"/>
          <w:szCs w:val="20"/>
        </w:rPr>
        <w:t>cadant</w:t>
      </w:r>
      <w:proofErr w:type="spellEnd"/>
      <w:r>
        <w:rPr>
          <w:rFonts w:ascii="Times New Roman" w:eastAsia="Times New Roman" w:hAnsi="Times New Roman" w:cs="Times New Roman"/>
          <w:sz w:val="20"/>
          <w:szCs w:val="20"/>
        </w:rPr>
        <w:t xml:space="preserve"> supra res </w:t>
      </w:r>
      <w:proofErr w:type="spellStart"/>
      <w:r>
        <w:rPr>
          <w:rFonts w:ascii="Times New Roman" w:eastAsia="Times New Roman" w:hAnsi="Times New Roman" w:cs="Times New Roman"/>
          <w:sz w:val="20"/>
          <w:szCs w:val="20"/>
        </w:rPr>
        <w:t>distinctas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realiter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verbi</w:t>
      </w:r>
      <w:proofErr w:type="spellEnd"/>
      <w:r>
        <w:rPr>
          <w:rFonts w:ascii="Times New Roman" w:eastAsia="Times New Roman" w:hAnsi="Times New Roman" w:cs="Times New Roman"/>
          <w:sz w:val="20"/>
          <w:szCs w:val="20"/>
        </w:rPr>
        <w:t xml:space="preserve"> gratia, Petrus </w:t>
      </w:r>
      <w:proofErr w:type="spellStart"/>
      <w:r>
        <w:rPr>
          <w:rFonts w:ascii="Times New Roman" w:eastAsia="Times New Roman" w:hAnsi="Times New Roman" w:cs="Times New Roman"/>
          <w:sz w:val="20"/>
          <w:szCs w:val="20"/>
        </w:rPr>
        <w:t>currit</w:t>
      </w:r>
      <w:proofErr w:type="spellEnd"/>
      <w:r>
        <w:rPr>
          <w:rFonts w:ascii="Times New Roman" w:eastAsia="Times New Roman" w:hAnsi="Times New Roman" w:cs="Times New Roman"/>
          <w:sz w:val="20"/>
          <w:szCs w:val="20"/>
        </w:rPr>
        <w:t xml:space="preserve">; Paulus non </w:t>
      </w:r>
      <w:proofErr w:type="spellStart"/>
      <w:r>
        <w:rPr>
          <w:rFonts w:ascii="Times New Roman" w:eastAsia="Times New Roman" w:hAnsi="Times New Roman" w:cs="Times New Roman"/>
          <w:sz w:val="20"/>
          <w:szCs w:val="20"/>
        </w:rPr>
        <w:t>currit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iam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desinunt</w:t>
      </w:r>
      <w:proofErr w:type="spellEnd"/>
      <w:r>
        <w:rPr>
          <w:rFonts w:ascii="Times New Roman" w:eastAsia="Times New Roman" w:hAnsi="Times New Roman" w:cs="Times New Roman"/>
          <w:sz w:val="20"/>
          <w:szCs w:val="20"/>
        </w:rPr>
        <w:t xml:space="preserve"> esse </w:t>
      </w:r>
      <w:proofErr w:type="spellStart"/>
      <w:r>
        <w:rPr>
          <w:rFonts w:ascii="Times New Roman" w:eastAsia="Times New Roman" w:hAnsi="Times New Roman" w:cs="Times New Roman"/>
          <w:sz w:val="20"/>
          <w:szCs w:val="20"/>
        </w:rPr>
        <w:t>contradictoria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quia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subiectum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est</w:t>
      </w:r>
      <w:proofErr w:type="spellEnd"/>
      <w:r>
        <w:rPr>
          <w:rFonts w:ascii="Times New Roman" w:eastAsia="Times New Roman" w:hAnsi="Times New Roman" w:cs="Times New Roman"/>
          <w:sz w:val="20"/>
          <w:szCs w:val="20"/>
        </w:rPr>
        <w:t xml:space="preserve"> duplex; </w:t>
      </w:r>
      <w:proofErr w:type="spellStart"/>
      <w:r>
        <w:rPr>
          <w:rFonts w:ascii="Times New Roman" w:eastAsia="Times New Roman" w:hAnsi="Times New Roman" w:cs="Times New Roman"/>
          <w:sz w:val="20"/>
          <w:szCs w:val="20"/>
        </w:rPr>
        <w:t>ita</w:t>
      </w:r>
      <w:proofErr w:type="spellEnd"/>
      <w:r>
        <w:rPr>
          <w:rFonts w:ascii="Times New Roman" w:eastAsia="Times New Roman" w:hAnsi="Times New Roman" w:cs="Times New Roman"/>
          <w:sz w:val="20"/>
          <w:szCs w:val="20"/>
        </w:rPr>
        <w:t xml:space="preserve"> in nostro </w:t>
      </w:r>
      <w:proofErr w:type="spellStart"/>
      <w:r>
        <w:rPr>
          <w:rFonts w:ascii="Times New Roman" w:eastAsia="Times New Roman" w:hAnsi="Times New Roman" w:cs="Times New Roman"/>
          <w:sz w:val="20"/>
          <w:szCs w:val="20"/>
        </w:rPr>
        <w:t>casu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quia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subiectum</w:t>
      </w:r>
      <w:proofErr w:type="spellEnd"/>
      <w:r>
        <w:rPr>
          <w:rFonts w:ascii="Times New Roman" w:eastAsia="Times New Roman" w:hAnsi="Times New Roman" w:cs="Times New Roman"/>
          <w:sz w:val="20"/>
          <w:szCs w:val="20"/>
        </w:rPr>
        <w:t xml:space="preserve"> licet non sit duplex, </w:t>
      </w:r>
      <w:proofErr w:type="spellStart"/>
      <w:r>
        <w:rPr>
          <w:rFonts w:ascii="Times New Roman" w:eastAsia="Times New Roman" w:hAnsi="Times New Roman" w:cs="Times New Roman"/>
          <w:sz w:val="20"/>
          <w:szCs w:val="20"/>
        </w:rPr>
        <w:t>habet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tamen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distinctionem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hanc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virtualem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Ideo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praedicata</w:t>
      </w:r>
      <w:proofErr w:type="spellEnd"/>
      <w:r>
        <w:rPr>
          <w:rFonts w:ascii="Times New Roman" w:eastAsia="Times New Roman" w:hAnsi="Times New Roman" w:cs="Times New Roman"/>
          <w:sz w:val="20"/>
          <w:szCs w:val="20"/>
        </w:rPr>
        <w:t xml:space="preserve"> ex se </w:t>
      </w:r>
      <w:proofErr w:type="spellStart"/>
      <w:r>
        <w:rPr>
          <w:rFonts w:ascii="Times New Roman" w:eastAsia="Times New Roman" w:hAnsi="Times New Roman" w:cs="Times New Roman"/>
          <w:sz w:val="20"/>
          <w:szCs w:val="20"/>
        </w:rPr>
        <w:t>opposita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desinunt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respectu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illius</w:t>
      </w:r>
      <w:proofErr w:type="spellEnd"/>
      <w:r>
        <w:rPr>
          <w:rFonts w:ascii="Times New Roman" w:eastAsia="Times New Roman" w:hAnsi="Times New Roman" w:cs="Times New Roman"/>
          <w:sz w:val="20"/>
          <w:szCs w:val="20"/>
        </w:rPr>
        <w:t xml:space="preserve"> esse </w:t>
      </w:r>
      <w:proofErr w:type="spellStart"/>
      <w:r>
        <w:rPr>
          <w:rFonts w:ascii="Times New Roman" w:eastAsia="Times New Roman" w:hAnsi="Times New Roman" w:cs="Times New Roman"/>
          <w:sz w:val="20"/>
          <w:szCs w:val="20"/>
        </w:rPr>
        <w:t>opposita</w:t>
      </w:r>
      <w:proofErr w:type="spellEnd"/>
      <w:r>
        <w:rPr>
          <w:rFonts w:ascii="Times New Roman" w:eastAsia="Times New Roman" w:hAnsi="Times New Roman" w:cs="Times New Roman"/>
          <w:sz w:val="20"/>
          <w:szCs w:val="20"/>
        </w:rPr>
        <w:t>.”</w:t>
      </w:r>
    </w:p>
  </w:footnote>
  <w:footnote w:id="74">
    <w:p w14:paraId="000000DA" w14:textId="77777777" w:rsidR="008D1538" w:rsidRDefault="00000000">
      <w:pPr>
        <w:spacing w:line="240" w:lineRule="auto"/>
        <w:rPr>
          <w:rFonts w:ascii="Times New Roman" w:eastAsia="Times New Roman" w:hAnsi="Times New Roman" w:cs="Times New Roman"/>
          <w:sz w:val="20"/>
          <w:szCs w:val="20"/>
          <w:highlight w:val="red"/>
        </w:rPr>
      </w:pPr>
      <w:r>
        <w:rPr>
          <w:vertAlign w:val="superscript"/>
        </w:rPr>
        <w:footnoteRef/>
      </w:r>
      <w:r>
        <w:rPr>
          <w:rFonts w:ascii="Times New Roman" w:eastAsia="Times New Roman" w:hAnsi="Times New Roman" w:cs="Times New Roman"/>
          <w:sz w:val="20"/>
          <w:szCs w:val="20"/>
        </w:rPr>
        <w:t xml:space="preserve"> Oviedo </w:t>
      </w:r>
      <w:r>
        <w:rPr>
          <w:rFonts w:ascii="Times New Roman" w:eastAsia="Times New Roman" w:hAnsi="Times New Roman" w:cs="Times New Roman"/>
          <w:i/>
          <w:sz w:val="20"/>
          <w:szCs w:val="20"/>
        </w:rPr>
        <w:t xml:space="preserve">Cursus </w:t>
      </w:r>
      <w:proofErr w:type="spellStart"/>
      <w:r>
        <w:rPr>
          <w:rFonts w:ascii="Times New Roman" w:eastAsia="Times New Roman" w:hAnsi="Times New Roman" w:cs="Times New Roman"/>
          <w:i/>
          <w:sz w:val="20"/>
          <w:szCs w:val="20"/>
        </w:rPr>
        <w:t>Philosophicus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Metaphysica</w:t>
      </w:r>
      <w:proofErr w:type="spellEnd"/>
      <w:r>
        <w:rPr>
          <w:rFonts w:ascii="Times New Roman" w:eastAsia="Times New Roman" w:hAnsi="Times New Roman" w:cs="Times New Roman"/>
          <w:sz w:val="20"/>
          <w:szCs w:val="20"/>
        </w:rPr>
        <w:t xml:space="preserve"> c. 4 p. 4 s. 2 n. 11 p. 263.</w:t>
      </w:r>
    </w:p>
  </w:footnote>
  <w:footnote w:id="75">
    <w:p w14:paraId="000000B7"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Leibniz </w:t>
      </w:r>
      <w:r>
        <w:rPr>
          <w:rFonts w:ascii="Times New Roman" w:eastAsia="Times New Roman" w:hAnsi="Times New Roman" w:cs="Times New Roman"/>
          <w:i/>
          <w:sz w:val="20"/>
          <w:szCs w:val="20"/>
        </w:rPr>
        <w:t>The Art of Controversies</w:t>
      </w:r>
      <w:r>
        <w:rPr>
          <w:rFonts w:ascii="Times New Roman" w:eastAsia="Times New Roman" w:hAnsi="Times New Roman" w:cs="Times New Roman"/>
          <w:sz w:val="20"/>
          <w:szCs w:val="20"/>
        </w:rPr>
        <w:t xml:space="preserve"> chapter 25. “Theology and the Principle of Contradiction” p. 239, translated by Dascal.</w:t>
      </w:r>
    </w:p>
  </w:footnote>
  <w:footnote w:id="76">
    <w:p w14:paraId="000000DC"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These worries only apply to those who, like Cajetan, go in for </w:t>
      </w:r>
      <w:r>
        <w:rPr>
          <w:rFonts w:ascii="Times New Roman" w:eastAsia="Times New Roman" w:hAnsi="Times New Roman" w:cs="Times New Roman"/>
          <w:i/>
          <w:sz w:val="20"/>
          <w:szCs w:val="20"/>
        </w:rPr>
        <w:t xml:space="preserve">outright </w:t>
      </w:r>
      <w:r>
        <w:rPr>
          <w:rFonts w:ascii="Times New Roman" w:eastAsia="Times New Roman" w:hAnsi="Times New Roman" w:cs="Times New Roman"/>
          <w:sz w:val="20"/>
          <w:szCs w:val="20"/>
        </w:rPr>
        <w:t xml:space="preserve">contradictions. An alternative reading of Arriaga and Oviedo avoids the conclusion that the divine essence both is and is not communicable, even though the predicates ‘is communicable’ and ‘is not communicable’ are both true of the divine essence. This requires violations of </w:t>
      </w:r>
      <w:proofErr w:type="spellStart"/>
      <w:r>
        <w:rPr>
          <w:rFonts w:ascii="Times New Roman" w:eastAsia="Times New Roman" w:hAnsi="Times New Roman" w:cs="Times New Roman"/>
          <w:sz w:val="20"/>
          <w:szCs w:val="20"/>
        </w:rPr>
        <w:t>Disquotation</w:t>
      </w:r>
      <w:proofErr w:type="spellEnd"/>
      <w:r>
        <w:rPr>
          <w:rFonts w:ascii="Times New Roman" w:eastAsia="Times New Roman" w:hAnsi="Times New Roman" w:cs="Times New Roman"/>
          <w:sz w:val="20"/>
          <w:szCs w:val="20"/>
        </w:rPr>
        <w:t xml:space="preserve">: either ‘is communicable’ is true of the divine essence, even though the divine essence isn’t communicable, or else ‘is not communicable’ is true of the divine essence even though the divine essence is communicable. Setting aside other worries one might have about this position—and, once again, we know of no reason to think that this </w:t>
      </w:r>
      <w:r>
        <w:rPr>
          <w:rFonts w:ascii="Times New Roman" w:eastAsia="Times New Roman" w:hAnsi="Times New Roman" w:cs="Times New Roman"/>
          <w:i/>
          <w:sz w:val="20"/>
          <w:szCs w:val="20"/>
        </w:rPr>
        <w:t xml:space="preserve">really is </w:t>
      </w:r>
      <w:r>
        <w:rPr>
          <w:rFonts w:ascii="Times New Roman" w:eastAsia="Times New Roman" w:hAnsi="Times New Roman" w:cs="Times New Roman"/>
          <w:sz w:val="20"/>
          <w:szCs w:val="20"/>
        </w:rPr>
        <w:t xml:space="preserve">the position of either Arriaga or Oviedo—this by itself is not a response to the Achilles. Like the flat-footed reduplication strategy discussed in the previous section, it changes the subject. The question remains: which premise of the Achilles argument is denied? It is tempting to say that the first premise is denied, but the first premise is about what’s communicable and incommunicable, and it’s </w:t>
      </w:r>
      <w:r>
        <w:rPr>
          <w:rFonts w:ascii="Times New Roman" w:eastAsia="Times New Roman" w:hAnsi="Times New Roman" w:cs="Times New Roman"/>
          <w:i/>
          <w:sz w:val="20"/>
          <w:szCs w:val="20"/>
        </w:rPr>
        <w:t>not</w:t>
      </w:r>
      <w:r>
        <w:rPr>
          <w:rFonts w:ascii="Times New Roman" w:eastAsia="Times New Roman" w:hAnsi="Times New Roman" w:cs="Times New Roman"/>
          <w:sz w:val="20"/>
          <w:szCs w:val="20"/>
        </w:rPr>
        <w:t xml:space="preserve"> directly about what the predicates ‘is communicable’ and ‘is incommunicable’ can be truly predicated of. There is an obvious connection between the two subject matters, a connection codified by </w:t>
      </w:r>
      <w:proofErr w:type="spellStart"/>
      <w:r>
        <w:rPr>
          <w:rFonts w:ascii="Times New Roman" w:eastAsia="Times New Roman" w:hAnsi="Times New Roman" w:cs="Times New Roman"/>
          <w:sz w:val="20"/>
          <w:szCs w:val="20"/>
        </w:rPr>
        <w:t>Disquotation</w:t>
      </w:r>
      <w:proofErr w:type="spellEnd"/>
      <w:r>
        <w:rPr>
          <w:rFonts w:ascii="Times New Roman" w:eastAsia="Times New Roman" w:hAnsi="Times New Roman" w:cs="Times New Roman"/>
          <w:sz w:val="20"/>
          <w:szCs w:val="20"/>
        </w:rPr>
        <w:t xml:space="preserve">. But this position avoids outright contradiction only if the relevant instances of </w:t>
      </w:r>
      <w:proofErr w:type="spellStart"/>
      <w:r>
        <w:rPr>
          <w:rFonts w:ascii="Times New Roman" w:eastAsia="Times New Roman" w:hAnsi="Times New Roman" w:cs="Times New Roman"/>
          <w:sz w:val="20"/>
          <w:szCs w:val="20"/>
        </w:rPr>
        <w:t>Disquotation</w:t>
      </w:r>
      <w:proofErr w:type="spellEnd"/>
      <w:r>
        <w:rPr>
          <w:rFonts w:ascii="Times New Roman" w:eastAsia="Times New Roman" w:hAnsi="Times New Roman" w:cs="Times New Roman"/>
          <w:sz w:val="20"/>
          <w:szCs w:val="20"/>
        </w:rPr>
        <w:t xml:space="preserve"> are denied. Another way of making the same point appeals to the following instance of the law of the excluded middle:</w:t>
      </w:r>
    </w:p>
    <w:p w14:paraId="000000DD" w14:textId="77777777" w:rsidR="008D1538" w:rsidRDefault="00000000">
      <w:pPr>
        <w:numPr>
          <w:ilvl w:val="0"/>
          <w:numId w:val="7"/>
        </w:numPr>
        <w:spacing w:before="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divine nature/paternity is either communicable prior to any act of the intellect or not communicable prior to any act of the intellect.</w:t>
      </w:r>
    </w:p>
    <w:p w14:paraId="000000DE" w14:textId="77777777" w:rsidR="008D1538" w:rsidRDefault="00000000">
      <w:pPr>
        <w:spacing w:before="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We ask: which one is it? Both? Then we have an outright contradiction, and we are back to Cajetan’s position. Only one? Then not the other, and we are no longer denying the first premise; we are back to denying the </w:t>
      </w:r>
      <w:r>
        <w:rPr>
          <w:rFonts w:ascii="Times New Roman" w:eastAsia="Times New Roman" w:hAnsi="Times New Roman" w:cs="Times New Roman"/>
          <w:i/>
          <w:sz w:val="20"/>
          <w:szCs w:val="20"/>
        </w:rPr>
        <w:t>second</w:t>
      </w:r>
      <w:r>
        <w:rPr>
          <w:rFonts w:ascii="Times New Roman" w:eastAsia="Times New Roman" w:hAnsi="Times New Roman" w:cs="Times New Roman"/>
          <w:sz w:val="20"/>
          <w:szCs w:val="20"/>
        </w:rPr>
        <w:t xml:space="preserve"> premise which, as we said before, is heterodox. Neither? (Perhaps we decline to say?) Then whither the law of excluded middle? This position, though an alternative to the inconsistency view, is either a red herring, or it collapses back into Cajetan’s position.</w:t>
      </w:r>
    </w:p>
  </w:footnote>
  <w:footnote w:id="77">
    <w:p w14:paraId="00000104" w14:textId="77777777" w:rsidR="008D1538"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18"/>
          <w:szCs w:val="18"/>
        </w:rPr>
        <w:t xml:space="preserve">Arriaga, </w:t>
      </w:r>
      <w:r>
        <w:rPr>
          <w:rFonts w:ascii="Times New Roman" w:eastAsia="Times New Roman" w:hAnsi="Times New Roman" w:cs="Times New Roman"/>
          <w:i/>
          <w:sz w:val="20"/>
          <w:szCs w:val="20"/>
        </w:rPr>
        <w:t xml:space="preserve">Cursus </w:t>
      </w:r>
      <w:proofErr w:type="spellStart"/>
      <w:r>
        <w:rPr>
          <w:rFonts w:ascii="Times New Roman" w:eastAsia="Times New Roman" w:hAnsi="Times New Roman" w:cs="Times New Roman"/>
          <w:i/>
          <w:sz w:val="20"/>
          <w:szCs w:val="20"/>
        </w:rPr>
        <w:t>Theologicus</w:t>
      </w:r>
      <w:proofErr w:type="spellEnd"/>
      <w:r>
        <w:rPr>
          <w:rFonts w:ascii="Times New Roman" w:eastAsia="Times New Roman" w:hAnsi="Times New Roman" w:cs="Times New Roman"/>
          <w:i/>
          <w:sz w:val="20"/>
          <w:szCs w:val="20"/>
        </w:rPr>
        <w:t xml:space="preserve"> </w:t>
      </w:r>
      <w:r>
        <w:rPr>
          <w:rFonts w:ascii="Times New Roman" w:eastAsia="Times New Roman" w:hAnsi="Times New Roman" w:cs="Times New Roman"/>
          <w:sz w:val="18"/>
          <w:szCs w:val="18"/>
        </w:rPr>
        <w:t xml:space="preserve">d. 42, </w:t>
      </w:r>
      <w:proofErr w:type="spellStart"/>
      <w:r>
        <w:rPr>
          <w:rFonts w:ascii="Times New Roman" w:eastAsia="Times New Roman" w:hAnsi="Times New Roman" w:cs="Times New Roman"/>
          <w:sz w:val="18"/>
          <w:szCs w:val="18"/>
        </w:rPr>
        <w:t>sectio</w:t>
      </w:r>
      <w:proofErr w:type="spellEnd"/>
      <w:r>
        <w:rPr>
          <w:rFonts w:ascii="Times New Roman" w:eastAsia="Times New Roman" w:hAnsi="Times New Roman" w:cs="Times New Roman"/>
          <w:sz w:val="18"/>
          <w:szCs w:val="18"/>
        </w:rPr>
        <w:t xml:space="preserve"> I, n. 9, p. 441. </w:t>
      </w:r>
    </w:p>
  </w:footnote>
  <w:footnote w:id="78">
    <w:p w14:paraId="000000F9" w14:textId="77777777" w:rsidR="008D1538" w:rsidRDefault="00000000">
      <w:pPr>
        <w:spacing w:line="240" w:lineRule="auto"/>
        <w:rPr>
          <w:sz w:val="20"/>
          <w:szCs w:val="20"/>
        </w:rPr>
      </w:pPr>
      <w:r>
        <w:rPr>
          <w:vertAlign w:val="superscript"/>
        </w:rPr>
        <w:footnoteRef/>
      </w:r>
      <w:r>
        <w:rPr>
          <w:sz w:val="20"/>
          <w:szCs w:val="20"/>
        </w:rPr>
        <w:t xml:space="preserve"> </w:t>
      </w:r>
      <w:proofErr w:type="spellStart"/>
      <w:proofErr w:type="gramStart"/>
      <w:r>
        <w:rPr>
          <w:rFonts w:ascii="Times New Roman" w:eastAsia="Times New Roman" w:hAnsi="Times New Roman" w:cs="Times New Roman"/>
          <w:sz w:val="20"/>
          <w:szCs w:val="20"/>
        </w:rPr>
        <w:t>Báñez</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Scholastica</w:t>
      </w:r>
      <w:proofErr w:type="gram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Commentaria</w:t>
      </w:r>
      <w:proofErr w:type="spellEnd"/>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I. q. 28 a. 2 p. 350. “</w:t>
      </w:r>
      <w:proofErr w:type="gramStart"/>
      <w:r>
        <w:rPr>
          <w:rFonts w:ascii="Times New Roman" w:eastAsia="Times New Roman" w:hAnsi="Times New Roman" w:cs="Times New Roman"/>
          <w:sz w:val="20"/>
          <w:szCs w:val="20"/>
        </w:rPr>
        <w:t>ad</w:t>
      </w:r>
      <w:proofErr w:type="gram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quintum</w:t>
      </w:r>
      <w:proofErr w:type="spellEnd"/>
      <w:r>
        <w:rPr>
          <w:rFonts w:ascii="Times New Roman" w:eastAsia="Times New Roman" w:hAnsi="Times New Roman" w:cs="Times New Roman"/>
          <w:sz w:val="20"/>
          <w:szCs w:val="20"/>
        </w:rPr>
        <w:t xml:space="preserve"> argumentum </w:t>
      </w:r>
      <w:proofErr w:type="spellStart"/>
      <w:r>
        <w:rPr>
          <w:rFonts w:ascii="Times New Roman" w:eastAsia="Times New Roman" w:hAnsi="Times New Roman" w:cs="Times New Roman"/>
          <w:sz w:val="20"/>
          <w:szCs w:val="20"/>
        </w:rPr>
        <w:t>concesso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antecedenti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nego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consequen</w:t>
      </w:r>
      <w:proofErr w:type="spellEnd"/>
      <w:r>
        <w:rPr>
          <w:rFonts w:ascii="Times New Roman" w:eastAsia="Times New Roman" w:hAnsi="Times New Roman" w:cs="Times New Roman"/>
          <w:sz w:val="20"/>
          <w:szCs w:val="20"/>
        </w:rPr>
        <w:t xml:space="preserve">. In hoc </w:t>
      </w:r>
      <w:proofErr w:type="spellStart"/>
      <w:r>
        <w:rPr>
          <w:rFonts w:ascii="Times New Roman" w:eastAsia="Times New Roman" w:hAnsi="Times New Roman" w:cs="Times New Roman"/>
          <w:sz w:val="20"/>
          <w:szCs w:val="20"/>
        </w:rPr>
        <w:t>enim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cosistit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mysterium</w:t>
      </w:r>
      <w:proofErr w:type="spellEnd"/>
      <w:r>
        <w:rPr>
          <w:rFonts w:ascii="Times New Roman" w:eastAsia="Times New Roman" w:hAnsi="Times New Roman" w:cs="Times New Roman"/>
          <w:sz w:val="20"/>
          <w:szCs w:val="20"/>
        </w:rPr>
        <w:t xml:space="preserve"> trinitatis, </w:t>
      </w:r>
      <w:proofErr w:type="spellStart"/>
      <w:r>
        <w:rPr>
          <w:rFonts w:ascii="Times New Roman" w:eastAsia="Times New Roman" w:hAnsi="Times New Roman" w:cs="Times New Roman"/>
          <w:sz w:val="20"/>
          <w:szCs w:val="20"/>
        </w:rPr>
        <w:t>quod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una</w:t>
      </w:r>
      <w:proofErr w:type="spellEnd"/>
      <w:r>
        <w:rPr>
          <w:rFonts w:ascii="Times New Roman" w:eastAsia="Times New Roman" w:hAnsi="Times New Roman" w:cs="Times New Roman"/>
          <w:sz w:val="20"/>
          <w:szCs w:val="20"/>
        </w:rPr>
        <w:t xml:space="preserve"> res </w:t>
      </w:r>
      <w:proofErr w:type="spellStart"/>
      <w:r>
        <w:rPr>
          <w:rFonts w:ascii="Times New Roman" w:eastAsia="Times New Roman" w:hAnsi="Times New Roman" w:cs="Times New Roman"/>
          <w:sz w:val="20"/>
          <w:szCs w:val="20"/>
        </w:rPr>
        <w:t>simplicissima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tres</w:t>
      </w:r>
      <w:proofErr w:type="spellEnd"/>
      <w:r>
        <w:rPr>
          <w:rFonts w:ascii="Times New Roman" w:eastAsia="Times New Roman" w:hAnsi="Times New Roman" w:cs="Times New Roman"/>
          <w:sz w:val="20"/>
          <w:szCs w:val="20"/>
        </w:rPr>
        <w:t xml:space="preserve"> res </w:t>
      </w:r>
      <w:proofErr w:type="spellStart"/>
      <w:r>
        <w:rPr>
          <w:rFonts w:ascii="Times New Roman" w:eastAsia="Times New Roman" w:hAnsi="Times New Roman" w:cs="Times New Roman"/>
          <w:sz w:val="20"/>
          <w:szCs w:val="20"/>
        </w:rPr>
        <w:t>realiter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distinctae</w:t>
      </w:r>
      <w:proofErr w:type="spellEnd"/>
      <w:r>
        <w:rPr>
          <w:rFonts w:ascii="Times New Roman" w:eastAsia="Times New Roman" w:hAnsi="Times New Roman" w:cs="Times New Roman"/>
          <w:sz w:val="20"/>
          <w:szCs w:val="20"/>
        </w:rPr>
        <w:t xml:space="preserve"> et </w:t>
      </w:r>
      <w:proofErr w:type="spellStart"/>
      <w:r>
        <w:rPr>
          <w:rFonts w:ascii="Times New Roman" w:eastAsia="Times New Roman" w:hAnsi="Times New Roman" w:cs="Times New Roman"/>
          <w:sz w:val="20"/>
          <w:szCs w:val="20"/>
        </w:rPr>
        <w:t>oppositae</w:t>
      </w:r>
      <w:proofErr w:type="spellEnd"/>
      <w:r>
        <w:rPr>
          <w:rFonts w:ascii="Times New Roman" w:eastAsia="Times New Roman" w:hAnsi="Times New Roman" w:cs="Times New Roman"/>
          <w:sz w:val="20"/>
          <w:szCs w:val="20"/>
        </w:rPr>
        <w:t xml:space="preserve"> inter se, </w:t>
      </w:r>
      <w:proofErr w:type="spellStart"/>
      <w:r>
        <w:rPr>
          <w:rFonts w:ascii="Times New Roman" w:eastAsia="Times New Roman" w:hAnsi="Times New Roman" w:cs="Times New Roman"/>
          <w:sz w:val="20"/>
          <w:szCs w:val="20"/>
        </w:rPr>
        <w:t>nullam</w:t>
      </w:r>
      <w:proofErr w:type="spellEnd"/>
      <w:r>
        <w:rPr>
          <w:rFonts w:ascii="Times New Roman" w:eastAsia="Times New Roman" w:hAnsi="Times New Roman" w:cs="Times New Roman"/>
          <w:sz w:val="20"/>
          <w:szCs w:val="20"/>
        </w:rPr>
        <w:t xml:space="preserve"> autem </w:t>
      </w:r>
      <w:proofErr w:type="spellStart"/>
      <w:r>
        <w:rPr>
          <w:rFonts w:ascii="Times New Roman" w:eastAsia="Times New Roman" w:hAnsi="Times New Roman" w:cs="Times New Roman"/>
          <w:sz w:val="20"/>
          <w:szCs w:val="20"/>
        </w:rPr>
        <w:t>habentes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distinctionem</w:t>
      </w:r>
      <w:proofErr w:type="spellEnd"/>
      <w:r>
        <w:rPr>
          <w:rFonts w:ascii="Times New Roman" w:eastAsia="Times New Roman" w:hAnsi="Times New Roman" w:cs="Times New Roman"/>
          <w:sz w:val="20"/>
          <w:szCs w:val="20"/>
        </w:rPr>
        <w:t xml:space="preserve"> cum </w:t>
      </w:r>
      <w:proofErr w:type="spellStart"/>
      <w:r>
        <w:rPr>
          <w:rFonts w:ascii="Times New Roman" w:eastAsia="Times New Roman" w:hAnsi="Times New Roman" w:cs="Times New Roman"/>
          <w:sz w:val="20"/>
          <w:szCs w:val="20"/>
        </w:rPr>
        <w:t>essentia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praeter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distinctionem</w:t>
      </w:r>
      <w:proofErr w:type="spellEnd"/>
      <w:r>
        <w:rPr>
          <w:rFonts w:ascii="Times New Roman" w:eastAsia="Times New Roman" w:hAnsi="Times New Roman" w:cs="Times New Roman"/>
          <w:sz w:val="20"/>
          <w:szCs w:val="20"/>
        </w:rPr>
        <w:t xml:space="preserve"> rationis.”</w:t>
      </w:r>
    </w:p>
  </w:footnote>
  <w:footnote w:id="79">
    <w:p w14:paraId="000000D4"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i/>
          <w:sz w:val="20"/>
          <w:szCs w:val="20"/>
        </w:rPr>
        <w:t>tu</w:t>
      </w:r>
      <w:proofErr w:type="spellEnd"/>
      <w:r>
        <w:rPr>
          <w:rFonts w:ascii="Times New Roman" w:eastAsia="Times New Roman" w:hAnsi="Times New Roman" w:cs="Times New Roman"/>
          <w:i/>
          <w:sz w:val="20"/>
          <w:szCs w:val="20"/>
        </w:rPr>
        <w:t xml:space="preserve"> quoque</w:t>
      </w:r>
      <w:r>
        <w:rPr>
          <w:rFonts w:ascii="Times New Roman" w:eastAsia="Times New Roman" w:hAnsi="Times New Roman" w:cs="Times New Roman"/>
          <w:sz w:val="20"/>
          <w:szCs w:val="20"/>
        </w:rPr>
        <w:t xml:space="preserve"> objection could be made here, suggesting that accepting the conclusion and utilizing the formal distinction is no less mysterious than denying the first premise and utilizing the virtual distinction. A proper response to this objection would involve diving into the details of the formal distinction and the metaphysics behind it, showing that it is not mysterious but rather that Scotus and the </w:t>
      </w:r>
      <w:proofErr w:type="spellStart"/>
      <w:r>
        <w:rPr>
          <w:rFonts w:ascii="Times New Roman" w:eastAsia="Times New Roman" w:hAnsi="Times New Roman" w:cs="Times New Roman"/>
          <w:sz w:val="20"/>
          <w:szCs w:val="20"/>
        </w:rPr>
        <w:t>Scotists</w:t>
      </w:r>
      <w:proofErr w:type="spellEnd"/>
      <w:r>
        <w:rPr>
          <w:rFonts w:ascii="Times New Roman" w:eastAsia="Times New Roman" w:hAnsi="Times New Roman" w:cs="Times New Roman"/>
          <w:sz w:val="20"/>
          <w:szCs w:val="20"/>
        </w:rPr>
        <w:t xml:space="preserve"> have a consistent and worked-out theory of the formal distinction to employ. We are optimistic that the </w:t>
      </w:r>
      <w:proofErr w:type="spellStart"/>
      <w:r>
        <w:rPr>
          <w:rFonts w:ascii="Times New Roman" w:eastAsia="Times New Roman" w:hAnsi="Times New Roman" w:cs="Times New Roman"/>
          <w:sz w:val="20"/>
          <w:szCs w:val="20"/>
        </w:rPr>
        <w:t>Scotists</w:t>
      </w:r>
      <w:proofErr w:type="spellEnd"/>
      <w:r>
        <w:rPr>
          <w:rFonts w:ascii="Times New Roman" w:eastAsia="Times New Roman" w:hAnsi="Times New Roman" w:cs="Times New Roman"/>
          <w:sz w:val="20"/>
          <w:szCs w:val="20"/>
        </w:rPr>
        <w:t xml:space="preserve"> have such a theory (see, e.g., Mastri </w:t>
      </w:r>
      <w:r>
        <w:rPr>
          <w:rFonts w:ascii="Times New Roman" w:eastAsia="Times New Roman" w:hAnsi="Times New Roman" w:cs="Times New Roman"/>
          <w:i/>
          <w:sz w:val="20"/>
          <w:szCs w:val="20"/>
        </w:rPr>
        <w:t xml:space="preserve">Cursus </w:t>
      </w:r>
      <w:proofErr w:type="spellStart"/>
      <w:r>
        <w:rPr>
          <w:rFonts w:ascii="Times New Roman" w:eastAsia="Times New Roman" w:hAnsi="Times New Roman" w:cs="Times New Roman"/>
          <w:i/>
          <w:sz w:val="20"/>
          <w:szCs w:val="20"/>
        </w:rPr>
        <w:t>Philosophicus</w:t>
      </w:r>
      <w:proofErr w:type="spellEnd"/>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 xml:space="preserve">Tomus I </w:t>
      </w:r>
      <w:r>
        <w:rPr>
          <w:rFonts w:ascii="Times New Roman" w:eastAsia="Times New Roman" w:hAnsi="Times New Roman" w:cs="Times New Roman"/>
          <w:i/>
          <w:sz w:val="20"/>
          <w:szCs w:val="20"/>
        </w:rPr>
        <w:t xml:space="preserve">Logica </w:t>
      </w:r>
      <w:r>
        <w:rPr>
          <w:rFonts w:ascii="Times New Roman" w:eastAsia="Times New Roman" w:hAnsi="Times New Roman" w:cs="Times New Roman"/>
          <w:sz w:val="20"/>
          <w:szCs w:val="20"/>
        </w:rPr>
        <w:t>d. I q. 5 a. 2 n. 59-</w:t>
      </w:r>
      <w:proofErr w:type="gramStart"/>
      <w:r>
        <w:rPr>
          <w:rFonts w:ascii="Times New Roman" w:eastAsia="Times New Roman" w:hAnsi="Times New Roman" w:cs="Times New Roman"/>
          <w:sz w:val="20"/>
          <w:szCs w:val="20"/>
        </w:rPr>
        <w:t>95  p.94</w:t>
      </w:r>
      <w:proofErr w:type="gramEnd"/>
      <w:r>
        <w:rPr>
          <w:rFonts w:ascii="Times New Roman" w:eastAsia="Times New Roman" w:hAnsi="Times New Roman" w:cs="Times New Roman"/>
          <w:sz w:val="20"/>
          <w:szCs w:val="20"/>
        </w:rPr>
        <w:t xml:space="preserve">-102), but to explicate it is beyond the scope of this paper. So, it is true that the </w:t>
      </w:r>
      <w:proofErr w:type="spellStart"/>
      <w:r>
        <w:rPr>
          <w:rFonts w:ascii="Times New Roman" w:eastAsia="Times New Roman" w:hAnsi="Times New Roman" w:cs="Times New Roman"/>
          <w:sz w:val="20"/>
          <w:szCs w:val="20"/>
        </w:rPr>
        <w:t>Scotists</w:t>
      </w:r>
      <w:proofErr w:type="spellEnd"/>
      <w:r>
        <w:rPr>
          <w:rFonts w:ascii="Times New Roman" w:eastAsia="Times New Roman" w:hAnsi="Times New Roman" w:cs="Times New Roman"/>
          <w:sz w:val="20"/>
          <w:szCs w:val="20"/>
        </w:rPr>
        <w:t xml:space="preserve"> do owe us a theory </w:t>
      </w:r>
      <w:proofErr w:type="gramStart"/>
      <w:r>
        <w:rPr>
          <w:rFonts w:ascii="Times New Roman" w:eastAsia="Times New Roman" w:hAnsi="Times New Roman" w:cs="Times New Roman"/>
          <w:sz w:val="20"/>
          <w:szCs w:val="20"/>
        </w:rPr>
        <w:t>in order to</w:t>
      </w:r>
      <w:proofErr w:type="gramEnd"/>
      <w:r>
        <w:rPr>
          <w:rFonts w:ascii="Times New Roman" w:eastAsia="Times New Roman" w:hAnsi="Times New Roman" w:cs="Times New Roman"/>
          <w:sz w:val="20"/>
          <w:szCs w:val="20"/>
        </w:rPr>
        <w:t xml:space="preserve"> vindicate their position. </w:t>
      </w:r>
    </w:p>
  </w:footnote>
  <w:footnote w:id="80">
    <w:p w14:paraId="000000D3"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Thomas Aquinas, </w:t>
      </w:r>
      <w:r>
        <w:rPr>
          <w:rFonts w:ascii="Times New Roman" w:eastAsia="Times New Roman" w:hAnsi="Times New Roman" w:cs="Times New Roman"/>
          <w:i/>
          <w:sz w:val="20"/>
          <w:szCs w:val="20"/>
        </w:rPr>
        <w:t>Summa Contra Gentiles</w:t>
      </w:r>
      <w:r>
        <w:rPr>
          <w:rFonts w:ascii="Times New Roman" w:eastAsia="Times New Roman" w:hAnsi="Times New Roman" w:cs="Times New Roman"/>
          <w:sz w:val="20"/>
          <w:szCs w:val="20"/>
        </w:rPr>
        <w:t xml:space="preserve"> Bk. 1 c. 7 (translation by Anton </w:t>
      </w:r>
      <w:proofErr w:type="spellStart"/>
      <w:r>
        <w:rPr>
          <w:rFonts w:ascii="Times New Roman" w:eastAsia="Times New Roman" w:hAnsi="Times New Roman" w:cs="Times New Roman"/>
          <w:sz w:val="20"/>
          <w:szCs w:val="20"/>
        </w:rPr>
        <w:t>Pegis</w:t>
      </w:r>
      <w:proofErr w:type="spellEnd"/>
      <w:r>
        <w:rPr>
          <w:rFonts w:ascii="Times New Roman" w:eastAsia="Times New Roman" w:hAnsi="Times New Roman" w:cs="Times New Roman"/>
          <w:sz w:val="20"/>
          <w:szCs w:val="20"/>
        </w:rPr>
        <w:t>).</w:t>
      </w:r>
    </w:p>
  </w:footnote>
  <w:footnote w:id="81">
    <w:p w14:paraId="000000D0"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Thanks to XXX for suggesting this point to us.</w:t>
      </w:r>
    </w:p>
  </w:footnote>
  <w:footnote w:id="82">
    <w:p w14:paraId="000000FA"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In particular, Pawl</w:t>
      </w:r>
      <w:proofErr w:type="gramEnd"/>
      <w:r>
        <w:rPr>
          <w:rFonts w:ascii="Times New Roman" w:eastAsia="Times New Roman" w:hAnsi="Times New Roman" w:cs="Times New Roman"/>
          <w:sz w:val="20"/>
          <w:szCs w:val="20"/>
        </w:rPr>
        <w:t xml:space="preserve"> recommends a view on which the truth conditions for Christological predications follow the following paradigm: ‘is mutable’ is true of x just in case x has a concrete nature that can change; ‘is immutable’ is true of x just in case x has a concrete nature that cannot change. Given this, the orthodox affirmation ‘Christ is </w:t>
      </w:r>
      <w:proofErr w:type="gramStart"/>
      <w:r>
        <w:rPr>
          <w:rFonts w:ascii="Times New Roman" w:eastAsia="Times New Roman" w:hAnsi="Times New Roman" w:cs="Times New Roman"/>
          <w:sz w:val="20"/>
          <w:szCs w:val="20"/>
        </w:rPr>
        <w:t>mutable</w:t>
      </w:r>
      <w:proofErr w:type="gramEnd"/>
      <w:r>
        <w:rPr>
          <w:rFonts w:ascii="Times New Roman" w:eastAsia="Times New Roman" w:hAnsi="Times New Roman" w:cs="Times New Roman"/>
          <w:sz w:val="20"/>
          <w:szCs w:val="20"/>
        </w:rPr>
        <w:t xml:space="preserve"> and Christ is immutable’ is not </w:t>
      </w:r>
      <w:r>
        <w:rPr>
          <w:rFonts w:ascii="Times New Roman" w:eastAsia="Times New Roman" w:hAnsi="Times New Roman" w:cs="Times New Roman"/>
          <w:i/>
          <w:sz w:val="20"/>
          <w:szCs w:val="20"/>
        </w:rPr>
        <w:t xml:space="preserve">per se </w:t>
      </w:r>
      <w:r>
        <w:rPr>
          <w:rFonts w:ascii="Times New Roman" w:eastAsia="Times New Roman" w:hAnsi="Times New Roman" w:cs="Times New Roman"/>
          <w:sz w:val="20"/>
          <w:szCs w:val="20"/>
        </w:rPr>
        <w:t xml:space="preserve">inconsistent, provided, as Christian orthodoxy maintains, Christ has more than one nature. </w:t>
      </w:r>
    </w:p>
  </w:footnote>
  <w:footnote w:id="83">
    <w:p w14:paraId="000000FB" w14:textId="77777777" w:rsidR="008D153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See Beall (2021),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B9" w14:textId="1C3CD663" w:rsidR="008D1538" w:rsidRDefault="00000000">
    <w:pPr>
      <w:jc w:val="right"/>
    </w:pPr>
    <w:r>
      <w:fldChar w:fldCharType="begin"/>
    </w:r>
    <w:r>
      <w:instrText>PAGE</w:instrText>
    </w:r>
    <w:r>
      <w:fldChar w:fldCharType="separate"/>
    </w:r>
    <w:r w:rsidR="00463BEB">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B8" w14:textId="73ABADF0" w:rsidR="008D1538" w:rsidRDefault="00000000">
    <w:pPr>
      <w:jc w:val="right"/>
    </w:pPr>
    <w:r>
      <w:fldChar w:fldCharType="begin"/>
    </w:r>
    <w:r>
      <w:instrText>PAGE</w:instrText>
    </w:r>
    <w:r>
      <w:fldChar w:fldCharType="separate"/>
    </w:r>
    <w:r w:rsidR="00463BEB">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7F5357"/>
    <w:multiLevelType w:val="multilevel"/>
    <w:tmpl w:val="012C326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1BD03B55"/>
    <w:multiLevelType w:val="multilevel"/>
    <w:tmpl w:val="C17EA7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FF0BD7"/>
    <w:multiLevelType w:val="multilevel"/>
    <w:tmpl w:val="AF143A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2911796"/>
    <w:multiLevelType w:val="multilevel"/>
    <w:tmpl w:val="3230D7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0AF4E10"/>
    <w:multiLevelType w:val="multilevel"/>
    <w:tmpl w:val="E084D5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3637596"/>
    <w:multiLevelType w:val="multilevel"/>
    <w:tmpl w:val="B5B45F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5DB7D4E"/>
    <w:multiLevelType w:val="multilevel"/>
    <w:tmpl w:val="BF92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A6C2A86"/>
    <w:multiLevelType w:val="multilevel"/>
    <w:tmpl w:val="43F0C4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E482A77"/>
    <w:multiLevelType w:val="multilevel"/>
    <w:tmpl w:val="A54A9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6EA4AB5"/>
    <w:multiLevelType w:val="multilevel"/>
    <w:tmpl w:val="A18E3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52660791">
    <w:abstractNumId w:val="4"/>
  </w:num>
  <w:num w:numId="2" w16cid:durableId="1307734190">
    <w:abstractNumId w:val="2"/>
  </w:num>
  <w:num w:numId="3" w16cid:durableId="699622395">
    <w:abstractNumId w:val="6"/>
  </w:num>
  <w:num w:numId="4" w16cid:durableId="744500148">
    <w:abstractNumId w:val="5"/>
  </w:num>
  <w:num w:numId="5" w16cid:durableId="1808164555">
    <w:abstractNumId w:val="8"/>
  </w:num>
  <w:num w:numId="6" w16cid:durableId="1128204639">
    <w:abstractNumId w:val="9"/>
  </w:num>
  <w:num w:numId="7" w16cid:durableId="819493062">
    <w:abstractNumId w:val="7"/>
  </w:num>
  <w:num w:numId="8" w16cid:durableId="1409418737">
    <w:abstractNumId w:val="1"/>
  </w:num>
  <w:num w:numId="9" w16cid:durableId="1603300958">
    <w:abstractNumId w:val="3"/>
  </w:num>
  <w:num w:numId="10" w16cid:durableId="1748536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538"/>
    <w:rsid w:val="00463BEB"/>
    <w:rsid w:val="008D1538"/>
    <w:rsid w:val="00973CFB"/>
    <w:rsid w:val="00D03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6B24F"/>
  <w15:docId w15:val="{04156A59-2866-4F31-8CA4-727588C20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aristotelophile.com/current.htm" TargetMode="External"/><Relationship Id="rId3" Type="http://schemas.openxmlformats.org/officeDocument/2006/relationships/settings" Target="settings.xml"/><Relationship Id="rId7" Type="http://schemas.openxmlformats.org/officeDocument/2006/relationships/hyperlink" Target="http://www.aristotelophile.com/current.ht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41</Pages>
  <Words>10282</Words>
  <Characters>58608</Characters>
  <Application>Microsoft Office Word</Application>
  <DocSecurity>0</DocSecurity>
  <Lines>488</Lines>
  <Paragraphs>137</Paragraphs>
  <ScaleCrop>false</ScaleCrop>
  <Company/>
  <LinksUpToDate>false</LinksUpToDate>
  <CharactersWithSpaces>68753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Dominic LaMantia</cp:lastModifiedBy>
  <cp:revision>2</cp:revision>
  <dcterms:created xsi:type="dcterms:W3CDTF">2024-10-04T19:23:00Z</dcterms:created>
  <dcterms:modified xsi:type="dcterms:W3CDTF">2024-10-04T19:25:00Z</dcterms:modified>
</cp:coreProperties>
</file>